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left="0"/>
        <w:rPr>
          <w:rFonts w:hint="eastAsia" w:asciiTheme="minorEastAsia" w:hAnsiTheme="minorEastAsia" w:eastAsiaTheme="minorEastAsia" w:cstheme="minorEastAsia"/>
          <w:sz w:val="20"/>
        </w:rPr>
      </w:pPr>
      <w:r>
        <mc:AlternateContent>
          <mc:Choice Requires="wps">
            <w:drawing>
              <wp:anchor distT="0" distB="0" distL="114300" distR="114300" simplePos="0" relativeHeight="251658240" behindDoc="0" locked="0" layoutInCell="1" allowOverlap="1">
                <wp:simplePos x="0" y="0"/>
                <wp:positionH relativeFrom="page">
                  <wp:posOffset>944880</wp:posOffset>
                </wp:positionH>
                <wp:positionV relativeFrom="page">
                  <wp:posOffset>1649095</wp:posOffset>
                </wp:positionV>
                <wp:extent cx="5941695" cy="2540"/>
                <wp:effectExtent l="0" t="0" r="0" b="0"/>
                <wp:wrapNone/>
                <wp:docPr id="3" name="直线 2"/>
                <wp:cNvGraphicFramePr/>
                <a:graphic xmlns:a="http://schemas.openxmlformats.org/drawingml/2006/main">
                  <a:graphicData uri="http://schemas.microsoft.com/office/word/2010/wordprocessingShape">
                    <wps:wsp>
                      <wps:cNvCnPr/>
                      <wps:spPr>
                        <a:xfrm>
                          <a:off x="944880" y="1649095"/>
                          <a:ext cx="5941695"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4.4pt;margin-top:129.85pt;height:0.2pt;width:467.85pt;mso-position-horizontal-relative:page;mso-position-vertical-relative:page;z-index:251658240;mso-width-relative:page;mso-height-relative:page;" filled="f" stroked="t" coordsize="21600,21600" o:gfxdata="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t5mx2QAAAAwB&#10;AAAPAAAAAAAAAAEAIAAAACIAAABkcnMvZG93bnJldi54bWxQSwECFAAUAAAACACHTuJAx3aojeEB&#10;AACpAwAADgAAAAAAAAABACAAAAAoAQAAZHJzL2Uyb0RvYy54bWxQSwUGAAAAAAYABgBZAQAAewUA&#10;AAAA&#10;">
                <v:fill on="f" focussize="0,0"/>
                <v:stroke color="#000000" joinstyle="round"/>
                <v:imagedata o:title=""/>
                <o:lock v:ext="edit" aspectratio="f"/>
              </v:line>
            </w:pict>
          </mc:Fallback>
        </mc:AlternateContent>
      </w:r>
    </w:p>
    <w:p>
      <w:pPr>
        <w:spacing w:before="93" w:line="265" w:lineRule="exact"/>
        <w:ind w:right="0"/>
        <w:jc w:val="left"/>
        <w:rPr>
          <w:rFonts w:hint="eastAsia" w:asciiTheme="minorEastAsia" w:hAnsiTheme="minorEastAsia" w:eastAsiaTheme="minorEastAsia" w:cstheme="minorEastAsia"/>
          <w:sz w:val="24"/>
        </w:rPr>
      </w:pPr>
    </w:p>
    <w:p>
      <w:pPr>
        <w:spacing w:after="0"/>
        <w:rPr>
          <w:rFonts w:hint="eastAsia" w:asciiTheme="minorEastAsia" w:hAnsiTheme="minorEastAsia" w:eastAsiaTheme="minorEastAsia" w:cstheme="minorEastAsia"/>
          <w:sz w:val="18"/>
        </w:rPr>
        <w:sectPr>
          <w:headerReference r:id="rId3" w:type="default"/>
          <w:type w:val="continuous"/>
          <w:pgSz w:w="11910" w:h="16840"/>
          <w:pgMar w:top="40" w:right="1540" w:bottom="280" w:left="300" w:header="720" w:footer="720" w:gutter="0"/>
        </w:sectPr>
      </w:pPr>
    </w:p>
    <w:p>
      <w:pPr>
        <w:pStyle w:val="3"/>
        <w:spacing w:before="0"/>
        <w:ind w:left="0"/>
        <w:rPr>
          <w:rFonts w:hint="eastAsia" w:asciiTheme="minorEastAsia" w:hAnsiTheme="minorEastAsia" w:eastAsiaTheme="minorEastAsia" w:cstheme="minorEastAsia"/>
          <w:sz w:val="24"/>
        </w:rPr>
      </w:pPr>
    </w:p>
    <w:p>
      <w:pPr>
        <w:pStyle w:val="3"/>
        <w:spacing w:before="1"/>
        <w:ind w:left="0"/>
        <w:rPr>
          <w:rFonts w:hint="eastAsia" w:asciiTheme="minorEastAsia" w:hAnsiTheme="minorEastAsia" w:eastAsiaTheme="minorEastAsia" w:cstheme="minorEastAsia"/>
          <w:sz w:val="25"/>
        </w:rPr>
      </w:pP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产品简介：</w:t>
      </w:r>
    </w:p>
    <w:p>
      <w:pPr>
        <w:spacing w:before="58"/>
        <w:ind w:left="1498" w:right="0" w:firstLine="0"/>
        <w:jc w:val="left"/>
        <w:rPr>
          <w:rFonts w:hint="eastAsia" w:asciiTheme="minorEastAsia" w:hAnsiTheme="minorEastAsia" w:eastAsiaTheme="minorEastAsia" w:cstheme="minorEastAsia"/>
          <w:b/>
          <w:sz w:val="30"/>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b/>
          <w:sz w:val="30"/>
        </w:rPr>
        <w:t>酸性固绿染色液</w:t>
      </w:r>
    </w:p>
    <w:p>
      <w:pPr>
        <w:spacing w:after="0"/>
        <w:jc w:val="left"/>
        <w:rPr>
          <w:rFonts w:hint="eastAsia" w:asciiTheme="minorEastAsia" w:hAnsiTheme="minorEastAsia" w:eastAsiaTheme="minorEastAsia" w:cstheme="minorEastAsia"/>
          <w:sz w:val="30"/>
        </w:rPr>
        <w:sectPr>
          <w:type w:val="continuous"/>
          <w:pgSz w:w="11910" w:h="16840"/>
          <w:pgMar w:top="40" w:right="1540" w:bottom="280" w:left="300" w:header="720" w:footer="720" w:gutter="0"/>
          <w:cols w:equalWidth="0" w:num="2">
            <w:col w:w="2743" w:space="358"/>
            <w:col w:w="6969"/>
          </w:cols>
        </w:sectPr>
      </w:pPr>
    </w:p>
    <w:p>
      <w:pPr>
        <w:pStyle w:val="3"/>
        <w:spacing w:before="27" w:line="278" w:lineRule="auto"/>
        <w:ind w:right="145" w:firstLine="5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 xml:space="preserve">不同的氨基酸带有不同化学性质的侧链基团，有的带有碱性侧链，有的带有酸性侧链， </w:t>
      </w:r>
      <w:r>
        <w:rPr>
          <w:rFonts w:hint="eastAsia" w:asciiTheme="minorEastAsia" w:hAnsiTheme="minorEastAsia" w:eastAsiaTheme="minorEastAsia" w:cstheme="minorEastAsia"/>
          <w:spacing w:val="-5"/>
        </w:rPr>
        <w:t>由此组成的蛋白质具有不同数目的碱性基团和酸性基团，这些基团会使蛋白质在不同的</w:t>
      </w:r>
      <w:r>
        <w:rPr>
          <w:rFonts w:hint="eastAsia" w:asciiTheme="minorEastAsia" w:hAnsiTheme="minorEastAsia" w:eastAsiaTheme="minorEastAsia" w:cstheme="minorEastAsia"/>
        </w:rPr>
        <w:t xml:space="preserve">pH </w:t>
      </w:r>
      <w:r>
        <w:rPr>
          <w:rFonts w:hint="eastAsia" w:asciiTheme="minorEastAsia" w:hAnsiTheme="minorEastAsia" w:eastAsiaTheme="minorEastAsia" w:cstheme="minorEastAsia"/>
          <w:spacing w:val="-3"/>
        </w:rPr>
        <w:t>溶液中带有不同的净电荷，整个蛋白质分子带正电荷多，即为碱性蛋白(等电点偏向酸性)； 整个蛋白质带负电荷多，即为酸性蛋白质(等电点偏向酸性)。</w:t>
      </w:r>
    </w:p>
    <w:p>
      <w:pPr>
        <w:pStyle w:val="3"/>
        <w:spacing w:before="0" w:line="278" w:lineRule="auto"/>
        <w:ind w:right="248" w:firstLine="52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酸性固绿染色液是利用酸性蛋白质与带有正电荷的酸性染料固绿结合进行染色，细胞</w:t>
      </w:r>
      <w:r>
        <w:rPr>
          <w:rFonts w:hint="eastAsia" w:asciiTheme="minorEastAsia" w:hAnsiTheme="minorEastAsia" w:eastAsiaTheme="minorEastAsia" w:cstheme="minorEastAsia"/>
          <w:spacing w:val="-7"/>
        </w:rPr>
        <w:t>中含量最为丰富的酸性蛋白主要存在于细胞质和核仁中，因此染色后细胞质和核仁大部分被</w:t>
      </w:r>
      <w:r>
        <w:rPr>
          <w:rFonts w:hint="eastAsia" w:asciiTheme="minorEastAsia" w:hAnsiTheme="minorEastAsia" w:eastAsiaTheme="minorEastAsia" w:cstheme="minorEastAsia"/>
          <w:spacing w:val="-5"/>
        </w:rPr>
        <w:t>染成绿色。该染色液仅用于科研领域，不宜用于临床诊断或其他用途</w:t>
      </w:r>
    </w:p>
    <w:p>
      <w:pPr>
        <w:pStyle w:val="2"/>
        <w:spacing w:after="5" w:line="284"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w w:val="95"/>
        </w:rPr>
        <w:t>产品组成：</w:t>
      </w:r>
    </w:p>
    <w:tbl>
      <w:tblPr>
        <w:tblStyle w:val="6"/>
        <w:tblW w:w="5530" w:type="dxa"/>
        <w:tblInd w:w="27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9"/>
        <w:gridCol w:w="127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3119" w:type="dxa"/>
          </w:tcPr>
          <w:p>
            <w:pPr>
              <w:pStyle w:val="11"/>
              <w:ind w:left="2402"/>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编号</w:t>
            </w:r>
          </w:p>
          <w:p>
            <w:pPr>
              <w:pStyle w:val="11"/>
              <w:spacing w:before="44"/>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名称</w:t>
            </w:r>
          </w:p>
        </w:tc>
        <w:tc>
          <w:tcPr>
            <w:tcW w:w="1277" w:type="dxa"/>
          </w:tcPr>
          <w:p>
            <w:pPr>
              <w:pStyle w:val="11"/>
              <w:ind w:left="31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R20363</w:t>
            </w:r>
          </w:p>
          <w:p>
            <w:pPr>
              <w:pStyle w:val="11"/>
              <w:spacing w:before="44"/>
              <w:ind w:left="318"/>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2*50ml</w:t>
            </w:r>
          </w:p>
        </w:tc>
        <w:tc>
          <w:tcPr>
            <w:tcW w:w="1134" w:type="dxa"/>
          </w:tcPr>
          <w:p>
            <w:pPr>
              <w:pStyle w:val="11"/>
              <w:spacing w:before="179"/>
              <w:ind w:left="171" w:right="171"/>
              <w:jc w:val="center"/>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Storage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3119" w:type="dxa"/>
          </w:tcPr>
          <w:p>
            <w:pPr>
              <w:pStyle w:val="1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试剂(A): 固绿染色液</w:t>
            </w:r>
          </w:p>
        </w:tc>
        <w:tc>
          <w:tcPr>
            <w:tcW w:w="1277" w:type="dxa"/>
          </w:tcPr>
          <w:p>
            <w:pPr>
              <w:pStyle w:val="11"/>
              <w:ind w:left="0" w:right="417"/>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50ml</w:t>
            </w:r>
          </w:p>
        </w:tc>
        <w:tc>
          <w:tcPr>
            <w:tcW w:w="1134" w:type="dxa"/>
          </w:tcPr>
          <w:p>
            <w:pPr>
              <w:pStyle w:val="11"/>
              <w:ind w:left="171" w:right="16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RT 避光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3119" w:type="dxa"/>
          </w:tcPr>
          <w:p>
            <w:pPr>
              <w:pStyle w:val="1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试剂(B): 酸性缓冲液</w:t>
            </w:r>
          </w:p>
        </w:tc>
        <w:tc>
          <w:tcPr>
            <w:tcW w:w="1277" w:type="dxa"/>
          </w:tcPr>
          <w:p>
            <w:pPr>
              <w:pStyle w:val="11"/>
              <w:ind w:left="0" w:right="417"/>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50ml</w:t>
            </w:r>
          </w:p>
        </w:tc>
        <w:tc>
          <w:tcPr>
            <w:tcW w:w="1134" w:type="dxa"/>
          </w:tcPr>
          <w:p>
            <w:pPr>
              <w:pStyle w:val="11"/>
              <w:ind w:left="171" w:right="168"/>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5530" w:type="dxa"/>
            <w:gridSpan w:val="3"/>
          </w:tcPr>
          <w:p>
            <w:pPr>
              <w:pStyle w:val="11"/>
              <w:spacing w:before="25"/>
              <w:ind w:right="-15"/>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sz w:val="21"/>
              </w:rPr>
              <w:t>临用前，取试剂</w:t>
            </w:r>
            <w:r>
              <w:rPr>
                <w:rFonts w:hint="eastAsia" w:asciiTheme="minorEastAsia" w:hAnsiTheme="minorEastAsia" w:eastAsiaTheme="minorEastAsia" w:cstheme="minorEastAsia"/>
                <w:sz w:val="21"/>
              </w:rPr>
              <w:t>(A</w:t>
            </w:r>
            <w:r>
              <w:rPr>
                <w:rFonts w:hint="eastAsia" w:asciiTheme="minorEastAsia" w:hAnsiTheme="minorEastAsia" w:eastAsiaTheme="minorEastAsia" w:cstheme="minorEastAsia"/>
                <w:spacing w:val="-8"/>
                <w:sz w:val="21"/>
              </w:rPr>
              <w:t>)、</w:t>
            </w:r>
            <w:r>
              <w:rPr>
                <w:rFonts w:hint="eastAsia" w:asciiTheme="minorEastAsia" w:hAnsiTheme="minorEastAsia" w:eastAsiaTheme="minorEastAsia" w:cstheme="minorEastAsia"/>
                <w:sz w:val="21"/>
              </w:rPr>
              <w:t>(B</w:t>
            </w:r>
            <w:r>
              <w:rPr>
                <w:rFonts w:hint="eastAsia" w:asciiTheme="minorEastAsia" w:hAnsiTheme="minorEastAsia" w:eastAsiaTheme="minorEastAsia" w:cstheme="minorEastAsia"/>
                <w:spacing w:val="-4"/>
                <w:sz w:val="21"/>
              </w:rPr>
              <w:t>)等量混合，即为酸性固绿染色液。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3119" w:type="dxa"/>
          </w:tcPr>
          <w:p>
            <w:pPr>
              <w:pStyle w:val="1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使用说明书 1 份</w:t>
            </w:r>
          </w:p>
        </w:tc>
        <w:tc>
          <w:tcPr>
            <w:tcW w:w="2411" w:type="dxa"/>
            <w:gridSpan w:val="2"/>
          </w:tcPr>
          <w:p>
            <w:pPr>
              <w:pStyle w:val="11"/>
              <w:ind w:left="974" w:right="9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 份</w:t>
            </w:r>
          </w:p>
        </w:tc>
      </w:tr>
    </w:tbl>
    <w:p>
      <w:pPr>
        <w:spacing w:before="0"/>
        <w:ind w:left="1498" w:right="0"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自备材料：</w:t>
      </w:r>
    </w:p>
    <w:p>
      <w:pPr>
        <w:pStyle w:val="3"/>
        <w:spacing w:before="27"/>
        <w:rPr>
          <w:rFonts w:hint="eastAsia" w:asciiTheme="minorEastAsia" w:hAnsiTheme="minorEastAsia" w:eastAsiaTheme="minorEastAsia" w:cstheme="minorEastAsia"/>
        </w:rPr>
      </w:pPr>
      <w:r>
        <w:rPr>
          <w:rFonts w:hint="eastAsia" w:asciiTheme="minorEastAsia" w:hAnsiTheme="minorEastAsia" w:eastAsiaTheme="minorEastAsia" w:cstheme="minorEastAsia"/>
        </w:rPr>
        <w:t>1、玻片</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2、70%乙醇</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2"/>
        </w:rPr>
        <w:t>、水浴锅</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pacing w:val="-2"/>
        </w:rPr>
        <w:t>、显微镜</w:t>
      </w:r>
    </w:p>
    <w:p>
      <w:pPr>
        <w:spacing w:before="20"/>
        <w:ind w:left="1498" w:right="0" w:firstLine="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4"/>
        </w:rPr>
        <w:t>操作步骤</w:t>
      </w:r>
      <w:r>
        <w:rPr>
          <w:rFonts w:hint="eastAsia" w:asciiTheme="minorEastAsia" w:hAnsiTheme="minorEastAsia" w:eastAsiaTheme="minorEastAsia" w:cstheme="minorEastAsia"/>
          <w:sz w:val="21"/>
        </w:rPr>
        <w:t>(仅供参考)</w:t>
      </w:r>
      <w:r>
        <w:rPr>
          <w:rFonts w:hint="eastAsia" w:asciiTheme="minorEastAsia" w:hAnsiTheme="minorEastAsia" w:eastAsiaTheme="minorEastAsia" w:cstheme="minorEastAsia"/>
          <w:b/>
          <w:sz w:val="21"/>
        </w:rPr>
        <w:t>：</w:t>
      </w:r>
    </w:p>
    <w:p>
      <w:pPr>
        <w:pStyle w:val="3"/>
        <w:spacing w:before="28"/>
        <w:rPr>
          <w:rFonts w:hint="eastAsia" w:asciiTheme="minorEastAsia" w:hAnsiTheme="minorEastAsia" w:eastAsiaTheme="minorEastAsia" w:cstheme="minorEastAsia"/>
        </w:rPr>
      </w:pPr>
      <w:r>
        <w:rPr>
          <w:rFonts w:hint="eastAsia" w:asciiTheme="minorEastAsia" w:hAnsiTheme="minorEastAsia" w:eastAsiaTheme="minorEastAsia" w:cstheme="minorEastAsia"/>
        </w:rPr>
        <w:t>1、取新鲜血液1 滴滴于载玻片一端，推片，室温晾干。</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2、涂片浸入70%乙醇中固定5min，室温晾干。</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3、流水充分水洗，滤纸吸去残留水分；如有需要，可入酸性缓冲液处理1-2min。</w:t>
      </w:r>
    </w:p>
    <w:p>
      <w:pPr>
        <w:pStyle w:val="3"/>
        <w:spacing w:before="42"/>
        <w:rPr>
          <w:rFonts w:hint="eastAsia" w:asciiTheme="minorEastAsia" w:hAnsiTheme="minorEastAsia" w:eastAsiaTheme="minorEastAsia" w:cstheme="minorEastAsia"/>
        </w:rPr>
      </w:pPr>
      <w:r>
        <w:rPr>
          <w:rFonts w:hint="eastAsia" w:asciiTheme="minorEastAsia" w:hAnsiTheme="minorEastAsia" w:eastAsiaTheme="minorEastAsia" w:cstheme="minorEastAsia"/>
        </w:rPr>
        <w:t>4、涂片浸入酸性固绿染色液染色5～15min。</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5、流水冲洗，室温晾干。</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6、直接镜检或滴加 1 滴中性树胶，加盖盖玻片进行封片观察。</w:t>
      </w:r>
    </w:p>
    <w:p>
      <w:pPr>
        <w:pStyle w:val="2"/>
        <w:spacing w:before="20" w:after="5"/>
        <w:rPr>
          <w:rFonts w:hint="eastAsia" w:asciiTheme="minorEastAsia" w:hAnsiTheme="minorEastAsia" w:eastAsiaTheme="minorEastAsia" w:cstheme="minorEastAsia"/>
        </w:rPr>
      </w:pPr>
      <w:r>
        <w:rPr>
          <w:rFonts w:hint="eastAsia" w:asciiTheme="minorEastAsia" w:hAnsiTheme="minorEastAsia" w:eastAsiaTheme="minorEastAsia" w:cstheme="minorEastAsia"/>
          <w:w w:val="95"/>
        </w:rPr>
        <w:t>染色结果：</w:t>
      </w:r>
    </w:p>
    <w:tbl>
      <w:tblPr>
        <w:tblStyle w:val="6"/>
        <w:tblW w:w="4255" w:type="dxa"/>
        <w:tblInd w:w="3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6"/>
        <w:gridCol w:w="1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456" w:type="dxa"/>
          </w:tcPr>
          <w:p>
            <w:pPr>
              <w:pStyle w:val="1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细胞核大部分区域</w:t>
            </w:r>
          </w:p>
        </w:tc>
        <w:tc>
          <w:tcPr>
            <w:tcW w:w="1799" w:type="dxa"/>
          </w:tcPr>
          <w:p>
            <w:pPr>
              <w:pStyle w:val="11"/>
              <w:ind w:left="562" w:right="55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不着色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456" w:type="dxa"/>
          </w:tcPr>
          <w:p>
            <w:pPr>
              <w:pStyle w:val="1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细胞质、核仁</w:t>
            </w:r>
          </w:p>
        </w:tc>
        <w:tc>
          <w:tcPr>
            <w:tcW w:w="1799" w:type="dxa"/>
          </w:tcPr>
          <w:p>
            <w:pPr>
              <w:pStyle w:val="11"/>
              <w:ind w:left="562" w:right="55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绿色</w:t>
            </w:r>
          </w:p>
        </w:tc>
      </w:tr>
    </w:tbl>
    <w:p>
      <w:pPr>
        <w:spacing w:before="0"/>
        <w:ind w:left="1498" w:right="0"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注意事项：</w:t>
      </w:r>
    </w:p>
    <w:p>
      <w:pPr>
        <w:pStyle w:val="3"/>
        <w:spacing w:before="27"/>
        <w:rPr>
          <w:rFonts w:hint="eastAsia" w:asciiTheme="minorEastAsia" w:hAnsiTheme="minorEastAsia" w:eastAsiaTheme="minorEastAsia" w:cstheme="minorEastAsia"/>
        </w:rPr>
      </w:pPr>
      <w:r>
        <w:rPr>
          <w:rFonts w:hint="eastAsia" w:asciiTheme="minorEastAsia" w:hAnsiTheme="minorEastAsia" w:eastAsiaTheme="minorEastAsia" w:cstheme="minorEastAsia"/>
        </w:rPr>
        <w:t>1、血液涂片或骨髓涂片应厚薄均匀，以免影响染色效果。</w:t>
      </w:r>
    </w:p>
    <w:p>
      <w:pPr>
        <w:pStyle w:val="3"/>
        <w:spacing w:before="44"/>
        <w:rPr>
          <w:rFonts w:hint="eastAsia" w:asciiTheme="minorEastAsia" w:hAnsiTheme="minorEastAsia" w:eastAsiaTheme="minorEastAsia" w:cstheme="minorEastAsia"/>
        </w:rPr>
      </w:pPr>
      <w:r>
        <w:rPr>
          <w:rFonts w:hint="eastAsia" w:asciiTheme="minorEastAsia" w:hAnsiTheme="minorEastAsia" w:eastAsiaTheme="minorEastAsia" w:cstheme="minorEastAsia"/>
        </w:rPr>
        <w:t>2、血细胞涂片染色要求新鲜全血或EDTA 抗凝血。</w:t>
      </w:r>
    </w:p>
    <w:p>
      <w:pPr>
        <w:pStyle w:val="3"/>
        <w:spacing w:before="42"/>
        <w:rPr>
          <w:rFonts w:hint="eastAsia" w:asciiTheme="minorEastAsia" w:hAnsiTheme="minorEastAsia" w:eastAsiaTheme="minorEastAsia" w:cstheme="minorEastAsia"/>
        </w:rPr>
      </w:pPr>
      <w:r>
        <w:rPr>
          <w:rFonts w:hint="eastAsia" w:asciiTheme="minorEastAsia" w:hAnsiTheme="minorEastAsia" w:eastAsiaTheme="minorEastAsia" w:cstheme="minorEastAsia"/>
        </w:rPr>
        <w:t>3、染色过深可用甲醇或酒精适当脱色，最好不复染。</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4、pH 值对染色有一定影响，载玻片应清洁、无酸碱污染，以免影响染色效果。</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5、为了您的安全和健康，请穿实验服并戴一次性手套操作。</w:t>
      </w:r>
    </w:p>
    <w:p>
      <w:pPr>
        <w:spacing w:before="20"/>
        <w:ind w:left="1498" w:right="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sz w:val="24"/>
        </w:rPr>
        <w:t xml:space="preserve">有效期： </w:t>
      </w:r>
      <w:r>
        <w:rPr>
          <w:rFonts w:hint="eastAsia" w:asciiTheme="minorEastAsia" w:hAnsiTheme="minorEastAsia" w:eastAsiaTheme="minorEastAsia" w:cstheme="minorEastAsia"/>
          <w:sz w:val="21"/>
        </w:rPr>
        <w:t>12 个月有效。</w:t>
      </w:r>
    </w:p>
    <w:p>
      <w:pPr>
        <w:pStyle w:val="3"/>
        <w:spacing w:before="0"/>
        <w:ind w:left="0"/>
        <w:rPr>
          <w:rFonts w:hint="eastAsia" w:asciiTheme="minorEastAsia" w:hAnsiTheme="minorEastAsia" w:eastAsiaTheme="minorEastAsia" w:cstheme="minorEastAsia"/>
          <w:sz w:val="20"/>
        </w:rPr>
      </w:pPr>
    </w:p>
    <w:p>
      <w:pPr>
        <w:pStyle w:val="3"/>
        <w:spacing w:before="0"/>
        <w:ind w:left="0"/>
        <w:rPr>
          <w:rFonts w:hint="eastAsia" w:asciiTheme="minorEastAsia" w:hAnsiTheme="minorEastAsia" w:eastAsiaTheme="minorEastAsia" w:cstheme="minorEastAsia"/>
          <w:sz w:val="20"/>
        </w:rPr>
      </w:pPr>
    </w:p>
    <w:p>
      <w:pPr>
        <w:pStyle w:val="3"/>
        <w:spacing w:before="0"/>
        <w:ind w:left="0"/>
        <w:rPr>
          <w:rFonts w:hint="eastAsia" w:asciiTheme="minorEastAsia" w:hAnsiTheme="minorEastAsia" w:eastAsiaTheme="minorEastAsia" w:cstheme="minorEastAsia"/>
          <w:sz w:val="20"/>
        </w:rPr>
      </w:pPr>
    </w:p>
    <w:p>
      <w:pPr>
        <w:pStyle w:val="3"/>
        <w:spacing w:before="0"/>
        <w:ind w:left="0"/>
        <w:rPr>
          <w:rFonts w:hint="eastAsia" w:asciiTheme="minorEastAsia" w:hAnsiTheme="minorEastAsia" w:eastAsiaTheme="minorEastAsia" w:cstheme="minorEastAsia"/>
          <w:sz w:val="20"/>
        </w:rPr>
      </w:pPr>
    </w:p>
    <w:p>
      <w:pPr>
        <w:tabs>
          <w:tab w:val="left" w:pos="7112"/>
        </w:tabs>
        <w:spacing w:before="5"/>
        <w:ind w:right="0"/>
        <w:jc w:val="left"/>
        <w:rPr>
          <w:rFonts w:hint="eastAsia" w:asciiTheme="minorEastAsia" w:hAnsiTheme="minorEastAsia" w:eastAsiaTheme="minorEastAsia" w:cstheme="minorEastAsia"/>
          <w:sz w:val="18"/>
        </w:rPr>
      </w:pPr>
      <w:bookmarkStart w:id="0" w:name="_GoBack"/>
      <w:bookmarkEnd w:id="0"/>
    </w:p>
    <w:sectPr>
      <w:type w:val="continuous"/>
      <w:pgSz w:w="11910" w:h="16840"/>
      <w:pgMar w:top="40" w:right="1540" w:bottom="280" w:left="3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324" w:leftChars="600" w:hanging="4" w:firstLineChars="0"/>
    </w:pPr>
    <w:r>
      <w:rPr>
        <w:sz w:val="32"/>
      </w:rPr>
      <w:pict>
        <v:shape id="PowerPlusWaterMarkObject70945" o:spid="_x0000_s2050" o:spt="136" type="#_x0000_t136" style="position:absolute;left:0pt;height:79.5pt;width:632.4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4476750</wp:posOffset>
              </wp:positionH>
              <wp:positionV relativeFrom="paragraph">
                <wp:posOffset>-11430</wp:posOffset>
              </wp:positionV>
              <wp:extent cx="1905000" cy="838200"/>
              <wp:effectExtent l="0" t="0" r="0" b="0"/>
              <wp:wrapNone/>
              <wp:docPr id="4" name="文本框 1"/>
              <wp:cNvGraphicFramePr/>
              <a:graphic xmlns:a="http://schemas.openxmlformats.org/drawingml/2006/main">
                <a:graphicData uri="http://schemas.microsoft.com/office/word/2010/wordprocessingShape">
                  <wps:wsp>
                    <wps:cNvSpPr txBox="1"/>
                    <wps:spPr>
                      <a:xfrm>
                        <a:off x="4667250" y="458470"/>
                        <a:ext cx="1905000" cy="83820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52.5pt;margin-top:-0.9pt;height:66pt;width:150pt;z-index:251658240;mso-width-relative:page;mso-height-relative:page;" fillcolor="#FFFFFF" filled="t" stroked="f" coordsize="21600,21600" o:gfxdata="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yKzL1wAAAAsBAAAPAAAAAAAAAAEAIAAAACIAAABkcnMvZG93bnJl&#10;di54bWxQSwECFAAUAAAACACHTuJA7AvqfcUBAABUAwAADgAAAAAAAAABACAAAAAmAQAAZHJzL2Uy&#10;b0RvYy54bWxQSwUGAAAAAAYABgBZAQAAXQU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E72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paragraph" w:styleId="2">
    <w:name w:val="heading 1"/>
    <w:basedOn w:val="1"/>
    <w:next w:val="1"/>
    <w:qFormat/>
    <w:uiPriority w:val="1"/>
    <w:pPr>
      <w:ind w:left="1498"/>
      <w:outlineLvl w:val="1"/>
    </w:pPr>
    <w:rPr>
      <w:rFonts w:ascii="宋体" w:hAnsi="宋体" w:eastAsia="宋体" w:cs="宋体"/>
      <w:b/>
      <w:bCs/>
      <w:sz w:val="24"/>
      <w:szCs w:val="24"/>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43"/>
      <w:ind w:left="1498"/>
    </w:pPr>
    <w:rPr>
      <w:rFonts w:ascii="宋体" w:hAnsi="宋体" w:eastAsia="宋体" w:cs="宋体"/>
      <w:sz w:val="21"/>
      <w:szCs w:val="21"/>
      <w:lang w:val="en-US"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en-US" w:eastAsia="en-US" w:bidi="en-US"/>
    </w:rPr>
  </w:style>
  <w:style w:type="paragraph" w:customStyle="1" w:styleId="11">
    <w:name w:val="Table Paragraph"/>
    <w:basedOn w:val="1"/>
    <w:qFormat/>
    <w:uiPriority w:val="1"/>
    <w:pPr>
      <w:spacing w:before="22"/>
      <w:ind w:left="105"/>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2019-07-26T02:15:00Z</dcterms:created>
  <dc:creator>番茄花园</dc:creator>
  <cp:lastModifiedBy>Cute  princess</cp:lastModifiedBy>
  <dcterms:modified xsi:type="dcterms:W3CDTF">2019-07-26T02:23:08Z</dcterms:modified>
  <dc:title>质量检验报告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Office Word 2007</vt:lpwstr>
  </property>
  <property fmtid="{D5CDD505-2E9C-101B-9397-08002B2CF9AE}" pid="4" name="LastSaved">
    <vt:filetime>2019-07-26T00:00:00Z</vt:filetime>
  </property>
  <property fmtid="{D5CDD505-2E9C-101B-9397-08002B2CF9AE}" pid="5" name="KSOProductBuildVer">
    <vt:lpwstr>2052-11.1.0.8894</vt:lpwstr>
  </property>
</Properties>
</file>