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7"/>
        <w:rPr>
          <w:b/>
          <w:sz w:val="23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rPr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铅盐染色液(玫棕酸法)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46" w:space="1057"/>
            <w:col w:w="6417"/>
          </w:cols>
        </w:sectPr>
      </w:pPr>
    </w:p>
    <w:p>
      <w:pPr>
        <w:pStyle w:val="3"/>
        <w:spacing w:before="58" w:line="285" w:lineRule="auto"/>
        <w:ind w:left="405" w:right="109" w:firstLine="42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铅对人体有害，过量的铅可沉积人体组织内，特别是骨骼和肾小管，铅盐染色有玫棕酸    法、Timm</w:t>
      </w:r>
      <w:r>
        <w:rPr>
          <w:rFonts w:hint="eastAsia" w:ascii="宋体" w:hAnsi="宋体" w:eastAsia="宋体" w:cs="宋体"/>
          <w:spacing w:val="27"/>
        </w:rPr>
        <w:t xml:space="preserve"> </w:t>
      </w:r>
      <w:r>
        <w:rPr>
          <w:rFonts w:hint="eastAsia" w:ascii="宋体" w:hAnsi="宋体" w:eastAsia="宋体" w:cs="宋体"/>
        </w:rPr>
        <w:t>硫化银法等。</w:t>
      </w:r>
      <w:r>
        <w:rPr>
          <w:rFonts w:hint="eastAsia" w:ascii="宋体" w:hAnsi="宋体" w:eastAsia="宋体" w:cs="宋体"/>
          <w:spacing w:val="6"/>
        </w:rPr>
        <w:t>铅盐</w:t>
      </w:r>
      <w:r>
        <w:rPr>
          <w:rFonts w:hint="eastAsia" w:ascii="宋体" w:hAnsi="宋体" w:eastAsia="宋体" w:cs="宋体"/>
        </w:rPr>
        <w:t>染色液(玫棕酸法)是利用螯合剂玫棕酸钠与铅盐结</w:t>
      </w:r>
      <w:r>
        <w:rPr>
          <w:rFonts w:hint="eastAsia" w:ascii="宋体" w:hAnsi="宋体" w:eastAsia="宋体" w:cs="宋体"/>
          <w:spacing w:val="-7"/>
        </w:rPr>
        <w:t xml:space="preserve">合， </w:t>
      </w:r>
      <w:r>
        <w:rPr>
          <w:rFonts w:hint="eastAsia" w:ascii="宋体" w:hAnsi="宋体" w:eastAsia="宋体" w:cs="宋体"/>
        </w:rPr>
        <w:t>形成红色螯合物。染色过程中应避免使用含汞的固定剂，适用于石蜡切片。</w:t>
      </w:r>
    </w:p>
    <w:p>
      <w:pPr>
        <w:pStyle w:val="3"/>
        <w:rPr>
          <w:sz w:val="20"/>
        </w:rPr>
      </w:pPr>
    </w:p>
    <w:p>
      <w:pPr>
        <w:pStyle w:val="3"/>
        <w:spacing w:before="9"/>
        <w:rPr>
          <w:sz w:val="19"/>
        </w:rPr>
      </w:pPr>
    </w:p>
    <w:tbl>
      <w:tblPr>
        <w:tblStyle w:val="6"/>
        <w:tblW w:w="7038" w:type="dxa"/>
        <w:tblInd w:w="3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7"/>
        <w:gridCol w:w="2109"/>
        <w:gridCol w:w="1793"/>
        <w:gridCol w:w="593"/>
        <w:gridCol w:w="5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17" w:type="dxa"/>
          </w:tcPr>
          <w:p>
            <w:pPr>
              <w:pStyle w:val="11"/>
              <w:spacing w:line="328" w:lineRule="exact"/>
              <w:ind w:left="50"/>
              <w:rPr>
                <w:rFonts w:hint="eastAsia" w:ascii="Malgun Gothic" w:eastAsia="Malgun Gothic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产</w:t>
            </w:r>
            <w:r>
              <w:rPr>
                <w:rFonts w:hint="eastAsia" w:ascii="Malgun Gothic" w:eastAsia="Malgun Gothic"/>
                <w:b/>
                <w:sz w:val="24"/>
              </w:rPr>
              <w:t>品</w:t>
            </w:r>
            <w:r>
              <w:rPr>
                <w:rFonts w:hint="eastAsia" w:ascii="Microsoft JhengHei" w:eastAsia="Microsoft JhengHei"/>
                <w:b/>
                <w:sz w:val="24"/>
              </w:rPr>
              <w:t>组</w:t>
            </w:r>
            <w:r>
              <w:rPr>
                <w:rFonts w:hint="eastAsia" w:ascii="Malgun Gothic" w:eastAsia="Malgun Gothic"/>
                <w:b/>
                <w:sz w:val="24"/>
              </w:rPr>
              <w:t>成：</w:t>
            </w:r>
          </w:p>
        </w:tc>
        <w:tc>
          <w:tcPr>
            <w:tcW w:w="210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9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119" w:type="dxa"/>
            <w:gridSpan w:val="2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01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10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93" w:type="dxa"/>
          </w:tcPr>
          <w:p>
            <w:pPr>
              <w:pStyle w:val="11"/>
              <w:spacing w:before="10"/>
              <w:rPr>
                <w:rFonts w:ascii="MS UI Gothic"/>
                <w:sz w:val="20"/>
              </w:rPr>
            </w:pPr>
          </w:p>
          <w:p>
            <w:pPr>
              <w:pStyle w:val="11"/>
              <w:ind w:left="764" w:right="284"/>
              <w:jc w:val="center"/>
              <w:rPr>
                <w:sz w:val="19"/>
              </w:rPr>
            </w:pPr>
            <w:r>
              <w:rPr>
                <w:sz w:val="19"/>
              </w:rPr>
              <w:t>2×50ml</w:t>
            </w:r>
          </w:p>
        </w:tc>
        <w:tc>
          <w:tcPr>
            <w:tcW w:w="111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017" w:type="dxa"/>
          </w:tcPr>
          <w:p>
            <w:pPr>
              <w:pStyle w:val="11"/>
              <w:spacing w:before="30"/>
              <w:ind w:right="47"/>
              <w:jc w:val="right"/>
              <w:rPr>
                <w:sz w:val="19"/>
              </w:rPr>
            </w:pPr>
            <w:r>
              <w:rPr>
                <w:rFonts w:hint="eastAsia" w:ascii="宋体" w:eastAsia="宋体"/>
                <w:sz w:val="19"/>
              </w:rPr>
              <w:t>试剂</w:t>
            </w:r>
            <w:r>
              <w:rPr>
                <w:sz w:val="19"/>
              </w:rPr>
              <w:t>(A):</w:t>
            </w:r>
          </w:p>
        </w:tc>
        <w:tc>
          <w:tcPr>
            <w:tcW w:w="2109" w:type="dxa"/>
          </w:tcPr>
          <w:p>
            <w:pPr>
              <w:pStyle w:val="11"/>
              <w:spacing w:before="71"/>
              <w:ind w:left="63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玫棕酸染色液</w:t>
            </w:r>
          </w:p>
        </w:tc>
        <w:tc>
          <w:tcPr>
            <w:tcW w:w="1793" w:type="dxa"/>
          </w:tcPr>
          <w:p>
            <w:pPr>
              <w:pStyle w:val="11"/>
              <w:spacing w:before="28"/>
              <w:ind w:left="764" w:right="266"/>
              <w:jc w:val="center"/>
              <w:rPr>
                <w:sz w:val="19"/>
              </w:rPr>
            </w:pPr>
            <w:r>
              <w:rPr>
                <w:sz w:val="19"/>
              </w:rPr>
              <w:t>50ml</w:t>
            </w:r>
          </w:p>
        </w:tc>
        <w:tc>
          <w:tcPr>
            <w:tcW w:w="593" w:type="dxa"/>
          </w:tcPr>
          <w:p>
            <w:pPr>
              <w:pStyle w:val="11"/>
              <w:spacing w:before="30"/>
              <w:ind w:right="54"/>
              <w:jc w:val="right"/>
              <w:rPr>
                <w:sz w:val="19"/>
              </w:rPr>
            </w:pPr>
            <w:r>
              <w:rPr>
                <w:sz w:val="19"/>
              </w:rPr>
              <w:t>RT</w:t>
            </w:r>
          </w:p>
        </w:tc>
        <w:tc>
          <w:tcPr>
            <w:tcW w:w="526" w:type="dxa"/>
          </w:tcPr>
          <w:p>
            <w:pPr>
              <w:pStyle w:val="11"/>
              <w:spacing w:before="71"/>
              <w:ind w:right="48"/>
              <w:jc w:val="right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避光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017" w:type="dxa"/>
          </w:tcPr>
          <w:p>
            <w:pPr>
              <w:pStyle w:val="11"/>
              <w:spacing w:before="20" w:line="310" w:lineRule="exact"/>
              <w:ind w:right="61"/>
              <w:jc w:val="right"/>
              <w:rPr>
                <w:sz w:val="19"/>
              </w:rPr>
            </w:pPr>
            <w:r>
              <w:rPr>
                <w:rFonts w:hint="eastAsia" w:ascii="宋体" w:eastAsia="宋体"/>
                <w:sz w:val="19"/>
              </w:rPr>
              <w:t>试剂</w:t>
            </w:r>
            <w:r>
              <w:rPr>
                <w:sz w:val="19"/>
              </w:rPr>
              <w:t>(B):</w:t>
            </w:r>
          </w:p>
        </w:tc>
        <w:tc>
          <w:tcPr>
            <w:tcW w:w="2109" w:type="dxa"/>
          </w:tcPr>
          <w:p>
            <w:pPr>
              <w:pStyle w:val="11"/>
              <w:spacing w:before="81"/>
              <w:ind w:left="48"/>
              <w:rPr>
                <w:rFonts w:hint="eastAsia" w:ascii="MS UI Gothic" w:eastAsia="MS UI Gothic"/>
                <w:sz w:val="19"/>
              </w:rPr>
            </w:pPr>
            <w:r>
              <w:rPr>
                <w:rFonts w:hint="eastAsia" w:ascii="MS UI Gothic" w:eastAsia="MS UI Gothic"/>
                <w:sz w:val="19"/>
              </w:rPr>
              <w:t>固</w:t>
            </w:r>
            <w:r>
              <w:rPr>
                <w:rFonts w:hint="eastAsia" w:ascii="宋体" w:eastAsia="宋体"/>
                <w:sz w:val="19"/>
              </w:rPr>
              <w:t>绿</w:t>
            </w:r>
            <w:r>
              <w:rPr>
                <w:rFonts w:hint="eastAsia" w:ascii="MS UI Gothic" w:eastAsia="MS UI Gothic"/>
                <w:sz w:val="19"/>
              </w:rPr>
              <w:t>染色液</w:t>
            </w:r>
          </w:p>
        </w:tc>
        <w:tc>
          <w:tcPr>
            <w:tcW w:w="1793" w:type="dxa"/>
          </w:tcPr>
          <w:p>
            <w:pPr>
              <w:pStyle w:val="11"/>
              <w:spacing w:before="50" w:line="280" w:lineRule="exact"/>
              <w:ind w:left="764" w:right="196"/>
              <w:jc w:val="center"/>
              <w:rPr>
                <w:sz w:val="19"/>
              </w:rPr>
            </w:pPr>
            <w:r>
              <w:rPr>
                <w:sz w:val="19"/>
              </w:rPr>
              <w:t>50ml</w:t>
            </w:r>
          </w:p>
        </w:tc>
        <w:tc>
          <w:tcPr>
            <w:tcW w:w="593" w:type="dxa"/>
          </w:tcPr>
          <w:p>
            <w:pPr>
              <w:pStyle w:val="11"/>
              <w:spacing w:before="20" w:line="310" w:lineRule="exact"/>
              <w:ind w:right="54"/>
              <w:jc w:val="right"/>
              <w:rPr>
                <w:sz w:val="19"/>
              </w:rPr>
            </w:pPr>
            <w:r>
              <w:rPr>
                <w:sz w:val="19"/>
              </w:rPr>
              <w:t>RT</w:t>
            </w:r>
          </w:p>
        </w:tc>
        <w:tc>
          <w:tcPr>
            <w:tcW w:w="526" w:type="dxa"/>
          </w:tcPr>
          <w:p>
            <w:pPr>
              <w:pStyle w:val="11"/>
              <w:spacing w:before="61"/>
              <w:ind w:right="48"/>
              <w:jc w:val="right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避光</w:t>
            </w:r>
          </w:p>
        </w:tc>
      </w:tr>
    </w:tbl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9"/>
        <w:rPr>
          <w:sz w:val="1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w w:val="105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w w:val="105"/>
          <w:sz w:val="19"/>
        </w:rPr>
        <w:t>1</w:t>
      </w:r>
      <w:r>
        <w:rPr>
          <w:rFonts w:hint="eastAsia" w:ascii="宋体" w:hAnsi="宋体" w:eastAsia="宋体" w:cs="宋体"/>
          <w:w w:val="105"/>
          <w:sz w:val="21"/>
          <w:szCs w:val="21"/>
          <w:lang w:val="zh-CN" w:eastAsia="zh-CN" w:bidi="zh-CN"/>
        </w:rPr>
        <w:t>、无水乙醇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2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w w:val="105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w w:val="105"/>
          <w:sz w:val="21"/>
          <w:szCs w:val="21"/>
          <w:lang w:val="zh-CN" w:eastAsia="zh-CN" w:bidi="zh-CN"/>
        </w:rPr>
        <w:t>2、蒸馏水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3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w w:val="105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w w:val="105"/>
          <w:sz w:val="21"/>
          <w:szCs w:val="21"/>
          <w:lang w:val="zh-CN" w:eastAsia="zh-CN" w:bidi="zh-CN"/>
        </w:rPr>
        <w:t>3、恒温箱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w w:val="105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w w:val="105"/>
        </w:rPr>
        <w:t>1、</w:t>
      </w:r>
      <w:r>
        <w:rPr>
          <w:rFonts w:hint="eastAsia" w:ascii="宋体" w:hAnsi="宋体" w:eastAsia="宋体" w:cs="宋体"/>
          <w:w w:val="105"/>
          <w:sz w:val="21"/>
          <w:szCs w:val="21"/>
          <w:lang w:val="zh-CN" w:eastAsia="zh-CN" w:bidi="zh-CN"/>
        </w:rPr>
        <w:t>常规固定，常规浸蜡包埋，脱蜡至蒸馏水。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w w:val="105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w w:val="105"/>
          <w:sz w:val="21"/>
          <w:szCs w:val="21"/>
          <w:lang w:val="zh-CN" w:eastAsia="zh-CN" w:bidi="zh-CN"/>
        </w:rPr>
        <w:t>2、入玫棕酸染色液浸染 1h。蒸馏水冲洗。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w w:val="105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w w:val="105"/>
          <w:sz w:val="21"/>
          <w:szCs w:val="21"/>
          <w:lang w:val="zh-CN" w:eastAsia="zh-CN" w:bidi="zh-CN"/>
        </w:rPr>
        <w:t>3、入固绿染色液复染 1min。蒸馏水冲洗 3 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w w:val="105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w w:val="105"/>
          <w:sz w:val="21"/>
          <w:szCs w:val="21"/>
          <w:lang w:val="zh-CN" w:eastAsia="zh-CN" w:bidi="zh-CN"/>
        </w:rPr>
        <w:t>4、常规脱水透明，中性树胶封固。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2"/>
        <w:spacing w:before="147"/>
      </w:pPr>
      <w:r>
        <w:rPr>
          <w:rFonts w:hint="eastAsia" w:ascii="宋体" w:hAnsi="宋体" w:eastAsia="宋体" w:cs="宋体"/>
        </w:rPr>
        <w:t>染色结果：</w:t>
      </w:r>
    </w:p>
    <w:p>
      <w:pPr>
        <w:pStyle w:val="3"/>
        <w:tabs>
          <w:tab w:val="left" w:pos="4565"/>
        </w:tabs>
        <w:spacing w:before="73"/>
        <w:ind w:left="1727"/>
      </w:pPr>
      <w:r>
        <w:rPr>
          <w:rFonts w:hint="eastAsia" w:ascii="宋体" w:eastAsia="宋体"/>
        </w:rPr>
        <w:t>铅盐</w:t>
      </w:r>
      <w:r>
        <w:rPr>
          <w:rFonts w:hint="eastAsia" w:ascii="宋体" w:eastAsia="宋体"/>
        </w:rPr>
        <w:tab/>
      </w:r>
      <w:r>
        <w:t>黑色</w:t>
      </w:r>
    </w:p>
    <w:p>
      <w:pPr>
        <w:pStyle w:val="3"/>
        <w:tabs>
          <w:tab w:val="left" w:pos="4565"/>
        </w:tabs>
        <w:spacing w:before="123"/>
        <w:ind w:left="1727"/>
      </w:pPr>
      <w:r>
        <w:t>背景</w:t>
      </w:r>
      <w:r>
        <w:tab/>
      </w:r>
      <w:r>
        <w:rPr>
          <w:rFonts w:hint="eastAsia" w:ascii="宋体" w:eastAsia="宋体"/>
          <w:position w:val="-2"/>
        </w:rPr>
        <w:t>绿</w:t>
      </w:r>
      <w:r>
        <w:rPr>
          <w:position w:val="-2"/>
        </w:rPr>
        <w:t>色</w:t>
      </w: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1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1、避免使用含汞的固定剂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2、亦可恒温箱 60～65℃加热后，载玻片置于预热的玫棕酸染色液 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20"/>
        </w:rPr>
      </w:pPr>
    </w:p>
    <w:p>
      <w:pPr>
        <w:tabs>
          <w:tab w:val="left" w:pos="5718"/>
        </w:tabs>
        <w:spacing w:before="1"/>
        <w:ind w:left="1166" w:right="0" w:firstLine="0"/>
        <w:jc w:val="left"/>
        <w:rPr>
          <w:rFonts w:ascii="Cambria"/>
          <w:b/>
          <w:sz w:val="18"/>
        </w:rPr>
      </w:pPr>
    </w:p>
    <w:sectPr>
      <w:type w:val="continuous"/>
      <w:pgSz w:w="11900" w:h="16840"/>
      <w:pgMar w:top="660" w:right="11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83452" o:spid="_x0000_s2050" o:spt="136" type="#_x0000_t136" style="position:absolute;left:0pt;height:72pt;width:572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3926205</wp:posOffset>
              </wp:positionH>
              <wp:positionV relativeFrom="paragraph">
                <wp:posOffset>-20955</wp:posOffset>
              </wp:positionV>
              <wp:extent cx="1818640" cy="885825"/>
              <wp:effectExtent l="0" t="0" r="10160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97780" y="458470"/>
                        <a:ext cx="181864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9.15pt;margin-top:-1.65pt;height:69.75pt;width:143.2pt;z-index:251658240;mso-width-relative:page;mso-height-relative:page;" fillcolor="#FFFFFF" filled="t" stroked="f" coordsize="21600,21600" o:gfxdata="UEsDBAoAAAAAAIdO4kAAAAAAAAAAAAAAAAAEAAAAZHJzL1BLAwQUAAAACACHTuJAvwV8ZtgAAAAK&#10;AQAADwAAAGRycy9kb3ducmV2LnhtbE2PwU7DMAyG70i8Q2QkLmhLuo52K00ngQTiurEHcJusrWic&#10;qsnW7e0xJzhZlj/9/v5yd3WDuNgp9J40JEsFwlLjTU+thuPX+2IDIkQkg4Mnq+FmA+yq+7sSC+Nn&#10;2tvLIbaCQygUqKGLcSykDE1nHYalHy3x7eQnh5HXqZVmwpnD3SBXSmXSYU/8ocPRvnW2+T6cnYbT&#10;5/z0vJ3rj3jM9+vsFfu89jetHx8S9QIi2mv8g+FXn9WhYqfan8kEMWjIkk3KqIZFypOBrVrnIGom&#10;02wFsirl/wrVD1BLAwQUAAAACACHTuJAzm74Y8UBAABUAwAADgAAAGRycy9lMm9Eb2MueG1srVPL&#10;jtMwFN0j8Q+W9zRp1UwzUd2RYFQ2CJAGPsB1nMSSX7r2NCkfAH/Aig17vqvfMddumOGxQ2Th2L7H&#10;595zrr29mYwmRwlBOcvoclFSIq1wrbI9ox8/7F/UlITIbcu1s5LRkwz0Zvf82Xb0jVy5welWAkES&#10;G5rRMzrE6JuiCGKQhoeF89JisHNgeMQl9EULfER2o4tVWV4Vo4PWgxMyBNy9vQTpLvN3nRTxXdcF&#10;GYlmFGuLeYQ8HtJY7La86YH7QYm5DP4PVRiuLCZ9pLrlkZN7UH9RGSXABdfFhXCmcF2nhMwaUM2y&#10;/EPN3cC9zFrQnOAfbQr/j1a8Pb4HolrsHSWWG2zR+euX87cf5++fyTLZM/rQIOrOIy5OL92UoPN+&#10;wM2keurApD/qIRivyuvNpka7T4yuq3q9mX2WUyQina+X9dUa4wIBdV3VqyoxFk9EHkJ8LZ0hacIo&#10;YB+zvfz4JsQL9Cck5Q1Oq3avtM4L6A+vNJAjx57v8zez/wbTloyMXleYO52yLp2/UGuLxSTdF31p&#10;FqfDNIs+uPaEXuClx8oGB58o4VbghNFIyb0H1Q8YySZlFmxdFjdfs3Q3fl3nXE+PYfc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vwV8ZtgAAAAKAQAADwAAAAAAAAABACAAAAAiAAAAZHJzL2Rvd25y&#10;ZXYueG1sUEsBAhQAFAAAAAgAh07iQM5u+GPFAQAAVAMAAA4AAAAAAAAAAQAgAAAAJw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A4D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2019-06-04T07:23:00Z</dcterms:created>
  <dc:creator>94099</dc:creator>
  <cp:lastModifiedBy>Cute  princess</cp:lastModifiedBy>
  <dcterms:modified xsi:type="dcterms:W3CDTF">2019-06-04T07:26:36Z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2019-06-04T00:00:00Z</vt:filetime>
  </property>
  <property fmtid="{D5CDD505-2E9C-101B-9397-08002B2CF9AE}" pid="5" name="KSOProductBuildVer">
    <vt:lpwstr>2052-11.1.0.8696</vt:lpwstr>
  </property>
</Properties>
</file>