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酸性乙醇分化液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78"/>
            <w:col w:w="609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400" w:lineRule="exact"/>
        <w:ind w:left="403" w:right="1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分化作用是指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分化作用，所用的溶液称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 xml:space="preserve">分化液。在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 xml:space="preserve">染色和其他染色中常用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染色，才能保</w:t>
      </w:r>
      <w:r>
        <w:rPr>
          <w:rFonts w:hint="eastAsia" w:ascii="宋体" w:hAnsi="宋体" w:eastAsia="宋体" w:cs="宋体"/>
        </w:rPr>
        <w:t>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400" w:lineRule="exact"/>
        <w:ind w:left="403" w:right="9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酸性乙醇分化液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主要由稀酸、乙醇等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染色、</w:t>
      </w:r>
      <w:r>
        <w:rPr>
          <w:rFonts w:hint="eastAsia" w:ascii="宋体" w:hAnsi="宋体" w:eastAsia="宋体" w:cs="宋体"/>
        </w:rPr>
        <w:t xml:space="preserve">Masson </w:t>
      </w:r>
      <w:r>
        <w:rPr>
          <w:rFonts w:hint="eastAsia" w:ascii="宋体" w:hAnsi="宋体" w:eastAsia="宋体" w:cs="宋体"/>
        </w:rPr>
        <w:t>三色染色中，是一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非常重要的</w:t>
      </w:r>
      <w:r>
        <w:rPr>
          <w:rFonts w:hint="eastAsia" w:ascii="宋体" w:hAnsi="宋体" w:eastAsia="宋体" w:cs="宋体"/>
        </w:rPr>
        <w:t>辅</w:t>
      </w:r>
      <w:r>
        <w:rPr>
          <w:rFonts w:hint="eastAsia" w:ascii="宋体" w:hAnsi="宋体" w:eastAsia="宋体" w:cs="宋体"/>
        </w:rPr>
        <w:t>助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2913"/>
          <w:tab w:val="left" w:pos="4144"/>
          <w:tab w:val="left" w:pos="5165"/>
        </w:tabs>
        <w:ind w:right="7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酸性乙醇分化液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、一般分化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  <w:r>
        <w:rPr>
          <w:rFonts w:hint="eastAsia" w:ascii="宋体" w:hAnsi="宋体" w:eastAsia="宋体" w:cs="宋体"/>
        </w:rPr>
        <w:t>，立即用水或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349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3840480</wp:posOffset>
              </wp:positionH>
              <wp:positionV relativeFrom="paragraph">
                <wp:posOffset>7620</wp:posOffset>
              </wp:positionV>
              <wp:extent cx="1809750" cy="8667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280" y="477520"/>
                        <a:ext cx="18097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.4pt;margin-top:0.6pt;height:68.25pt;width:142.5pt;z-index:251658240;mso-width-relative:page;mso-height-relative:page;" fillcolor="#FFFFFF" filled="t" stroked="f" coordsize="21600,21600" o:gfxdata="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hU5utUAAAAJAQAADwAAAAAAAAABACAAAAAiAAAAZHJzL2Rvd25yZXYueG1s&#10;UEsBAhQAFAAAAAgAh07iQJc5DLHCAQAAVAMAAA4AAAAAAAAAAQAgAAAAJA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1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2019-06-25T08:03:00Z</dcterms:created>
  <dc:creator>94099</dc:creator>
  <cp:lastModifiedBy>Cute  princess</cp:lastModifiedBy>
  <dcterms:modified xsi:type="dcterms:W3CDTF">2019-06-25T08:06:16Z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