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93" w:rsidRDefault="00B50A93" w:rsidP="000B482A">
      <w:pPr>
        <w:pStyle w:val="a3"/>
        <w:spacing w:before="0" w:beforeAutospacing="0" w:after="0" w:afterAutospacing="0" w:line="315" w:lineRule="atLeast"/>
        <w:ind w:firstLineChars="300" w:firstLine="870"/>
        <w:rPr>
          <w:rFonts w:ascii="微软雅黑" w:eastAsia="微软雅黑" w:hAnsi="微软雅黑"/>
          <w:color w:val="000000"/>
          <w:sz w:val="21"/>
          <w:szCs w:val="21"/>
        </w:rPr>
      </w:pPr>
      <w:proofErr w:type="spellStart"/>
      <w:r>
        <w:rPr>
          <w:rStyle w:val="a4"/>
          <w:rFonts w:ascii="微软雅黑" w:eastAsia="微软雅黑" w:hAnsi="微软雅黑" w:hint="eastAsia"/>
          <w:color w:val="000000"/>
          <w:sz w:val="29"/>
          <w:szCs w:val="29"/>
        </w:rPr>
        <w:t>SuperRed/GelRed</w:t>
      </w:r>
      <w:proofErr w:type="spellEnd"/>
      <w:r>
        <w:rPr>
          <w:rStyle w:val="a4"/>
          <w:rFonts w:hint="eastAsia"/>
          <w:color w:val="000000"/>
          <w:sz w:val="29"/>
          <w:szCs w:val="29"/>
        </w:rPr>
        <w:t>核酸染料（</w:t>
      </w:r>
      <w:r>
        <w:rPr>
          <w:rStyle w:val="a4"/>
          <w:rFonts w:ascii="微软雅黑" w:eastAsia="微软雅黑" w:hAnsi="微软雅黑" w:hint="eastAsia"/>
          <w:color w:val="000000"/>
          <w:sz w:val="29"/>
          <w:szCs w:val="29"/>
        </w:rPr>
        <w:t>10,000</w:t>
      </w:r>
      <w:r>
        <w:rPr>
          <w:rStyle w:val="a4"/>
          <w:rFonts w:hint="eastAsia"/>
          <w:color w:val="000000"/>
          <w:sz w:val="29"/>
          <w:szCs w:val="29"/>
        </w:rPr>
        <w:t>×水溶液）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 </w:t>
      </w:r>
    </w:p>
    <w:p w:rsidR="00B50A93" w:rsidRDefault="00B50A93" w:rsidP="00B50A93">
      <w:pPr>
        <w:pStyle w:val="a3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</w:p>
    <w:p w:rsidR="00B50A93" w:rsidRDefault="00B50A93" w:rsidP="00B50A93">
      <w:pPr>
        <w:pStyle w:val="a3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2093"/>
        <w:gridCol w:w="4819"/>
        <w:gridCol w:w="1610"/>
      </w:tblGrid>
      <w:tr w:rsidR="00B50A93" w:rsidTr="00B50A93">
        <w:tc>
          <w:tcPr>
            <w:tcW w:w="2093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产品编号</w:t>
            </w:r>
          </w:p>
        </w:tc>
        <w:tc>
          <w:tcPr>
            <w:tcW w:w="4819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610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规格</w:t>
            </w:r>
          </w:p>
        </w:tc>
      </w:tr>
      <w:tr w:rsidR="00B50A93" w:rsidTr="00B50A93">
        <w:tc>
          <w:tcPr>
            <w:tcW w:w="2093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50A93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AS24647-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</w:t>
            </w:r>
            <w:r w:rsidRPr="00B50A93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00ul</w:t>
            </w:r>
          </w:p>
        </w:tc>
        <w:tc>
          <w:tcPr>
            <w:tcW w:w="4819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proofErr w:type="spellStart"/>
            <w:r w:rsidRPr="00B50A93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SuperRed/GelRed</w:t>
            </w:r>
            <w:proofErr w:type="spellEnd"/>
            <w:r w:rsidRPr="00B50A93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核酸染料（10,000×H2O）</w:t>
            </w:r>
          </w:p>
        </w:tc>
        <w:tc>
          <w:tcPr>
            <w:tcW w:w="1610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100ul</w:t>
            </w:r>
          </w:p>
        </w:tc>
      </w:tr>
      <w:tr w:rsidR="00B50A93" w:rsidTr="00B50A93">
        <w:tc>
          <w:tcPr>
            <w:tcW w:w="2093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50A93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AS24647-500ul</w:t>
            </w:r>
          </w:p>
        </w:tc>
        <w:tc>
          <w:tcPr>
            <w:tcW w:w="4819" w:type="dxa"/>
          </w:tcPr>
          <w:p w:rsidR="00B50A93" w:rsidRP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proofErr w:type="spellStart"/>
            <w:r w:rsidRPr="00B50A93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SuperRed/GelRed</w:t>
            </w:r>
            <w:proofErr w:type="spellEnd"/>
            <w:r w:rsidRPr="00B50A93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核酸染料（10,000×H2O）</w:t>
            </w:r>
          </w:p>
        </w:tc>
        <w:tc>
          <w:tcPr>
            <w:tcW w:w="1610" w:type="dxa"/>
          </w:tcPr>
          <w:p w:rsidR="00B50A93" w:rsidRDefault="00B50A93" w:rsidP="00B50A93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500ul</w:t>
            </w:r>
          </w:p>
        </w:tc>
      </w:tr>
    </w:tbl>
    <w:p w:rsidR="00411303" w:rsidRDefault="00411303" w:rsidP="00B50A93">
      <w:pPr>
        <w:pStyle w:val="a3"/>
        <w:spacing w:before="0" w:beforeAutospacing="0" w:after="0" w:afterAutospacing="0"/>
        <w:rPr>
          <w:rStyle w:val="a4"/>
          <w:rFonts w:hint="eastAsia"/>
          <w:color w:val="000000"/>
          <w:sz w:val="21"/>
          <w:szCs w:val="21"/>
        </w:rPr>
      </w:pPr>
    </w:p>
    <w:p w:rsidR="00B50A93" w:rsidRDefault="00B50A93" w:rsidP="00B50A93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产品特点：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、无毒性：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SuperRed</w:t>
      </w:r>
      <w:proofErr w:type="spellEnd"/>
      <w:r>
        <w:rPr>
          <w:rFonts w:hint="eastAsia"/>
          <w:color w:val="000000"/>
          <w:sz w:val="21"/>
          <w:szCs w:val="21"/>
        </w:rPr>
        <w:t>独特的油性大分子特点使其不能穿透细胞膜进入细胞内，艾姆斯氏试验结果也表明，该染料的诱变性远远小于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</w:t>
      </w:r>
      <w:r>
        <w:rPr>
          <w:rFonts w:hint="eastAsia"/>
          <w:color w:val="000000"/>
          <w:sz w:val="21"/>
          <w:szCs w:val="21"/>
        </w:rPr>
        <w:t>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、灵敏度高：适用于各种大小片段的电泳染色，对核酸迁移的影响小于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SYBR Green I</w:t>
      </w:r>
      <w:r>
        <w:rPr>
          <w:rFonts w:hint="eastAsia"/>
          <w:color w:val="000000"/>
          <w:sz w:val="21"/>
          <w:szCs w:val="21"/>
        </w:rPr>
        <w:t>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、稳定性高：适用于使用微波或其它加热方法制备琼脂糖凝胶；室温下在酸或碱缓冲液中极其稳定，耐光性强。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、信噪比好：样品荧光信号强，背景信号低，荧光强度是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</w:t>
      </w:r>
      <w:r>
        <w:rPr>
          <w:rFonts w:hint="eastAsia"/>
          <w:color w:val="000000"/>
          <w:sz w:val="21"/>
          <w:szCs w:val="21"/>
        </w:rPr>
        <w:t>的十倍以上，肉眼可观测到亮度明显比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</w:t>
      </w:r>
      <w:r>
        <w:rPr>
          <w:rFonts w:hint="eastAsia"/>
          <w:color w:val="000000"/>
          <w:sz w:val="21"/>
          <w:szCs w:val="21"/>
        </w:rPr>
        <w:t>强。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、操作简单：与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 </w:t>
      </w:r>
      <w:r>
        <w:rPr>
          <w:rFonts w:hint="eastAsia"/>
          <w:color w:val="000000"/>
          <w:sz w:val="21"/>
          <w:szCs w:val="21"/>
        </w:rPr>
        <w:t>一样，在预制胶和电泳过程中染料不降解；而电泳后染色过程也只需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30 </w:t>
      </w:r>
      <w:r>
        <w:rPr>
          <w:rFonts w:hint="eastAsia"/>
          <w:color w:val="000000"/>
          <w:sz w:val="21"/>
          <w:szCs w:val="21"/>
        </w:rPr>
        <w:t>分钟且无需脱色或冲洗，即可直接用紫外凝胶透射仪观察。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、适用范围广：可选择电泳前染色（胶染法）或电泳后染色（泡染法）；适用于琼脂糖凝胶或聚丙烯酰胺凝胶电泳；可用于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dsDNA</w:t>
      </w:r>
      <w:proofErr w:type="spellEnd"/>
      <w:r>
        <w:rPr>
          <w:rFonts w:hint="eastAsia"/>
          <w:color w:val="000000"/>
          <w:sz w:val="21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ssDNA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RNA </w:t>
      </w:r>
      <w:r>
        <w:rPr>
          <w:rFonts w:hint="eastAsia"/>
          <w:color w:val="000000"/>
          <w:sz w:val="21"/>
          <w:szCs w:val="21"/>
        </w:rPr>
        <w:t>染色。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7</w:t>
      </w:r>
      <w:r>
        <w:rPr>
          <w:rFonts w:hint="eastAsia"/>
          <w:color w:val="000000"/>
          <w:sz w:val="21"/>
          <w:szCs w:val="21"/>
        </w:rPr>
        <w:t>、完美兼容：与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</w:t>
      </w:r>
      <w:r>
        <w:rPr>
          <w:rFonts w:hint="eastAsia"/>
          <w:color w:val="000000"/>
          <w:sz w:val="21"/>
          <w:szCs w:val="21"/>
        </w:rPr>
        <w:t>有相同的光谱特性，无需改变滤光片及观察装置：标准的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</w:t>
      </w:r>
      <w:r>
        <w:rPr>
          <w:rFonts w:hint="eastAsia"/>
          <w:color w:val="000000"/>
          <w:sz w:val="21"/>
          <w:szCs w:val="21"/>
        </w:rPr>
        <w:t>滤光片或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SYBR</w:t>
      </w:r>
      <w:r>
        <w:rPr>
          <w:rFonts w:hint="eastAsia"/>
          <w:color w:val="000000"/>
          <w:sz w:val="21"/>
          <w:szCs w:val="21"/>
        </w:rPr>
        <w:t>滤光片都适用，使用与观察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EB</w:t>
      </w:r>
      <w:r>
        <w:rPr>
          <w:rFonts w:hint="eastAsia"/>
          <w:color w:val="000000"/>
          <w:sz w:val="21"/>
          <w:szCs w:val="21"/>
        </w:rPr>
        <w:t>相同的普通紫外凝胶透射仪观察即可，在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300nm </w:t>
      </w:r>
      <w:r>
        <w:rPr>
          <w:rFonts w:hint="eastAsia"/>
          <w:color w:val="000000"/>
          <w:sz w:val="21"/>
          <w:szCs w:val="21"/>
        </w:rPr>
        <w:t>紫外光附近可得到最佳激发。但是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SuperRed</w:t>
      </w:r>
      <w:proofErr w:type="spellEnd"/>
      <w:r>
        <w:rPr>
          <w:rFonts w:hint="eastAsia"/>
          <w:color w:val="000000"/>
          <w:sz w:val="21"/>
          <w:szCs w:val="21"/>
        </w:rPr>
        <w:t>不能被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488 nm</w:t>
      </w:r>
      <w:r>
        <w:rPr>
          <w:rFonts w:hint="eastAsia"/>
          <w:color w:val="000000"/>
          <w:sz w:val="21"/>
          <w:szCs w:val="21"/>
        </w:rPr>
        <w:t>氩离子激光器或相似波长的可见光完全激发，因此不推荐使用此类激发装置的成像系统。对于此类装置，我们推荐您使用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SuperGreen</w:t>
      </w:r>
      <w:proofErr w:type="spellEnd"/>
      <w:r>
        <w:rPr>
          <w:rFonts w:hint="eastAsia"/>
          <w:color w:val="000000"/>
          <w:sz w:val="21"/>
          <w:szCs w:val="21"/>
        </w:rPr>
        <w:t>，它和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SYBR Green I</w:t>
      </w:r>
      <w:r>
        <w:rPr>
          <w:rFonts w:hint="eastAsia"/>
          <w:color w:val="000000"/>
          <w:sz w:val="21"/>
          <w:szCs w:val="21"/>
        </w:rPr>
        <w:t>的光谱相似，灵敏度相当，但更加稳定。</w:t>
      </w:r>
    </w:p>
    <w:p w:rsidR="00B50A93" w:rsidRDefault="00B50A93" w:rsidP="00B50A93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使用方法：</w:t>
      </w:r>
      <w:r>
        <w:rPr>
          <w:rFonts w:hint="eastAsia"/>
          <w:color w:val="000000"/>
          <w:sz w:val="21"/>
          <w:szCs w:val="21"/>
        </w:rPr>
        <w:t>见说明书</w:t>
      </w:r>
    </w:p>
    <w:p w:rsidR="00B50A93" w:rsidRDefault="00B50A93" w:rsidP="00B50A93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特别提醒：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如果您使用的是紫外成像仪，请选择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SuperRed</w:t>
      </w:r>
      <w:proofErr w:type="spellEnd"/>
      <w:r>
        <w:rPr>
          <w:rFonts w:hint="eastAsia"/>
          <w:color w:val="000000"/>
          <w:sz w:val="21"/>
          <w:szCs w:val="21"/>
        </w:rPr>
        <w:t>；如果您使用激光成像仪或希望在可见光下观测，请选择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SuperGreen</w:t>
      </w:r>
      <w:proofErr w:type="spellEnd"/>
      <w:r>
        <w:rPr>
          <w:rFonts w:hint="eastAsia"/>
          <w:color w:val="000000"/>
          <w:sz w:val="21"/>
          <w:szCs w:val="21"/>
        </w:rPr>
        <w:t>。</w:t>
      </w:r>
    </w:p>
    <w:p w:rsidR="00B50A93" w:rsidRDefault="00B50A93" w:rsidP="00B50A93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在极少数情况下，质粒经某些酶切后的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DNA</w:t>
      </w:r>
      <w:r>
        <w:rPr>
          <w:rFonts w:hint="eastAsia"/>
          <w:color w:val="000000"/>
          <w:sz w:val="21"/>
          <w:szCs w:val="21"/>
        </w:rPr>
        <w:t>样品会出现拖尾和分辨率降低，此时建议同时尝试两种染色方法以决定哪种方法更加合适。</w:t>
      </w:r>
    </w:p>
    <w:p w:rsidR="00B50A93" w:rsidRDefault="00B50A93" w:rsidP="00B50A93">
      <w:pPr>
        <w:pStyle w:val="a3"/>
        <w:spacing w:before="0" w:beforeAutospacing="0" w:after="0" w:afterAutospacing="0" w:line="315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注意事项：</w:t>
      </w:r>
    </w:p>
    <w:p w:rsidR="00B50A93" w:rsidRDefault="00B50A93" w:rsidP="00B50A93">
      <w:pPr>
        <w:pStyle w:val="a3"/>
        <w:spacing w:before="0" w:beforeAutospacing="0" w:after="0" w:afterAutospacing="0" w:line="315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为了您的安全和健康，请穿实验服并戴一次性手套操作。</w:t>
      </w:r>
    </w:p>
    <w:p w:rsidR="00B50A93" w:rsidRDefault="00B50A93" w:rsidP="00B50A93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保存方法：</w:t>
      </w:r>
    </w:p>
    <w:p w:rsidR="00B50A93" w:rsidRDefault="00B50A93" w:rsidP="00B50A93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℃避光保存，保质期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年</w:t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C0" w:rsidRDefault="003B70C0" w:rsidP="009D67CF">
      <w:pPr>
        <w:spacing w:after="0"/>
      </w:pPr>
      <w:r>
        <w:separator/>
      </w:r>
    </w:p>
  </w:endnote>
  <w:endnote w:type="continuationSeparator" w:id="0">
    <w:p w:rsidR="003B70C0" w:rsidRDefault="003B70C0" w:rsidP="009D67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0B482A">
      <w:tc>
        <w:tcPr>
          <w:tcW w:w="750" w:type="pct"/>
        </w:tcPr>
        <w:p w:rsidR="000B482A" w:rsidRDefault="000B482A" w:rsidP="000B482A">
          <w:pPr>
            <w:pStyle w:val="a7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0B482A" w:rsidRDefault="000B482A">
          <w:pPr>
            <w:pStyle w:val="a7"/>
            <w:rPr>
              <w:color w:val="4F81BD" w:themeColor="accent1"/>
            </w:rPr>
          </w:pPr>
          <w:r>
            <w:rPr>
              <w:rFonts w:hint="eastAsia"/>
              <w:color w:val="4F81BD" w:themeColor="accent1"/>
            </w:rPr>
            <w:t>注意在体外研究使用，不</w:t>
          </w:r>
          <w:r>
            <w:rPr>
              <w:rFonts w:hint="eastAsia"/>
              <w:color w:val="4F81BD" w:themeColor="accent1"/>
            </w:rPr>
            <w:t xml:space="preserve"> </w:t>
          </w:r>
          <w:r>
            <w:rPr>
              <w:rFonts w:hint="eastAsia"/>
              <w:color w:val="4F81BD" w:themeColor="accent1"/>
            </w:rPr>
            <w:t>用于诊断或治疗</w:t>
          </w:r>
        </w:p>
      </w:tc>
    </w:tr>
  </w:tbl>
  <w:p w:rsidR="000B482A" w:rsidRDefault="000B48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C0" w:rsidRDefault="003B70C0" w:rsidP="009D67CF">
      <w:pPr>
        <w:spacing w:after="0"/>
      </w:pPr>
      <w:r>
        <w:separator/>
      </w:r>
    </w:p>
  </w:footnote>
  <w:footnote w:type="continuationSeparator" w:id="0">
    <w:p w:rsidR="003B70C0" w:rsidRDefault="003B70C0" w:rsidP="009D67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CF" w:rsidRDefault="009D67CF" w:rsidP="009D67CF">
    <w:pPr>
      <w:pStyle w:val="a6"/>
      <w:jc w:val="left"/>
    </w:pPr>
    <w:r>
      <w:rPr>
        <w:noProof/>
      </w:rPr>
      <w:drawing>
        <wp:inline distT="0" distB="0" distL="0" distR="0">
          <wp:extent cx="1110298" cy="447675"/>
          <wp:effectExtent l="19050" t="0" r="0" b="0"/>
          <wp:docPr id="1" name="图片 0" descr="lanso商标改色版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so商标改色版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626" cy="44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7CF" w:rsidRDefault="009D67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482A"/>
    <w:rsid w:val="002B585D"/>
    <w:rsid w:val="00323B43"/>
    <w:rsid w:val="003B70C0"/>
    <w:rsid w:val="003D37D8"/>
    <w:rsid w:val="00411303"/>
    <w:rsid w:val="00426133"/>
    <w:rsid w:val="004358AB"/>
    <w:rsid w:val="00507AE1"/>
    <w:rsid w:val="00641F17"/>
    <w:rsid w:val="008B7726"/>
    <w:rsid w:val="009D67CF"/>
    <w:rsid w:val="00B50A93"/>
    <w:rsid w:val="00CC5D6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A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50A93"/>
    <w:rPr>
      <w:b/>
      <w:bCs/>
    </w:rPr>
  </w:style>
  <w:style w:type="table" w:styleId="a5">
    <w:name w:val="Table Grid"/>
    <w:basedOn w:val="a1"/>
    <w:uiPriority w:val="59"/>
    <w:rsid w:val="00B5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9D67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D67CF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67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67CF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D67C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67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2020-09-01T09:23:00Z</cp:lastPrinted>
  <dcterms:created xsi:type="dcterms:W3CDTF">2020-09-01T09:23:00Z</dcterms:created>
  <dcterms:modified xsi:type="dcterms:W3CDTF">2020-09-01T09:24:00Z</dcterms:modified>
</cp:coreProperties>
</file>