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1"/>
        <w:ind w:left="0" w:leftChars="0" w:firstLine="0" w:firstLineChars="0"/>
        <w:rPr>
          <w:rFonts w:hint="eastAsia" w:ascii="宋体" w:hAnsi="宋体" w:eastAsia="宋体" w:cs="宋体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950595</wp:posOffset>
                </wp:positionH>
                <wp:positionV relativeFrom="page">
                  <wp:posOffset>1661160</wp:posOffset>
                </wp:positionV>
                <wp:extent cx="5973445" cy="20320"/>
                <wp:effectExtent l="0" t="4445" r="8255" b="13335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50595" y="1661160"/>
                          <a:ext cx="5973445" cy="20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74.85pt;margin-top:130.8pt;height:1.6pt;width:470.35pt;mso-position-horizontal-relative:page;mso-position-vertical-relative:page;z-index:251658240;mso-width-relative:page;mso-height-relative:page;" filled="f" stroked="t" coordsize="21600,21600" o:gfxdata="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lXYHK&#10;1wAAAAwBAAAPAAAAAAAAAAEAIAAAACIAAABkcnMvZG93bnJldi54bWxQSwECFAAUAAAACACHTuJA&#10;W/94jekBAAC0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spacing w:before="10"/>
        <w:rPr>
          <w:rFonts w:hint="eastAsia" w:ascii="宋体" w:hAnsi="宋体" w:eastAsia="宋体" w:cs="宋体"/>
          <w:b/>
          <w:sz w:val="14"/>
        </w:rPr>
      </w:pPr>
    </w:p>
    <w:p>
      <w:pPr>
        <w:spacing w:after="0"/>
        <w:rPr>
          <w:rFonts w:hint="eastAsia" w:ascii="宋体" w:hAnsi="宋体" w:eastAsia="宋体" w:cs="宋体"/>
          <w:sz w:val="14"/>
        </w:rPr>
        <w:sectPr>
          <w:headerReference r:id="rId3" w:type="default"/>
          <w:type w:val="continuous"/>
          <w:pgSz w:w="11900" w:h="16840"/>
          <w:pgMar w:top="660" w:right="1400" w:bottom="280" w:left="140" w:header="720" w:footer="720" w:gutter="0"/>
        </w:sectPr>
      </w:pPr>
    </w:p>
    <w:p>
      <w:pPr>
        <w:pStyle w:val="3"/>
        <w:spacing w:before="1"/>
        <w:rPr>
          <w:rFonts w:hint="eastAsia" w:ascii="宋体" w:hAnsi="宋体" w:eastAsia="宋体" w:cs="宋体"/>
          <w:b/>
          <w:sz w:val="24"/>
        </w:rPr>
      </w:pPr>
    </w:p>
    <w:p>
      <w:pPr>
        <w:spacing w:before="0"/>
        <w:ind w:left="1945" w:right="0" w:firstLine="0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产品简介：</w:t>
      </w:r>
    </w:p>
    <w:p>
      <w:pPr>
        <w:spacing w:before="0" w:line="511" w:lineRule="exact"/>
        <w:ind w:left="1643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0"/>
        </w:rPr>
        <w:t>非特异结合性封闭液</w:t>
      </w:r>
    </w:p>
    <w:p>
      <w:pPr>
        <w:spacing w:after="0" w:line="511" w:lineRule="exact"/>
        <w:jc w:val="left"/>
        <w:rPr>
          <w:rFonts w:hint="eastAsia" w:ascii="宋体" w:hAnsi="宋体" w:eastAsia="宋体" w:cs="宋体"/>
          <w:sz w:val="30"/>
        </w:rPr>
        <w:sectPr>
          <w:type w:val="continuous"/>
          <w:pgSz w:w="11900" w:h="16840"/>
          <w:pgMar w:top="660" w:right="1400" w:bottom="280" w:left="140" w:header="720" w:footer="720" w:gutter="0"/>
          <w:cols w:equalWidth="0" w:num="2">
            <w:col w:w="3146" w:space="40"/>
            <w:col w:w="7174"/>
          </w:cols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9" w:line="400" w:lineRule="exact"/>
        <w:ind w:left="1945" w:right="119" w:firstLine="527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一抗滴度</w:t>
      </w:r>
      <w:r>
        <w:rPr>
          <w:rFonts w:hint="eastAsia" w:ascii="宋体" w:hAnsi="宋体" w:eastAsia="宋体" w:cs="宋体"/>
        </w:rPr>
        <w:t>过</w:t>
      </w:r>
      <w:r>
        <w:rPr>
          <w:rFonts w:hint="eastAsia" w:ascii="宋体" w:hAnsi="宋体" w:eastAsia="宋体" w:cs="宋体"/>
        </w:rPr>
        <w:t>高、抗原的特异性交叉反</w:t>
      </w:r>
      <w:r>
        <w:rPr>
          <w:rFonts w:hint="eastAsia" w:ascii="宋体" w:hAnsi="宋体" w:eastAsia="宋体" w:cs="宋体"/>
        </w:rPr>
        <w:t>应</w:t>
      </w:r>
      <w:r>
        <w:rPr>
          <w:rFonts w:hint="eastAsia" w:ascii="宋体" w:hAnsi="宋体" w:eastAsia="宋体" w:cs="宋体"/>
        </w:rPr>
        <w:t>及抗体的特异性交叉反</w:t>
      </w:r>
      <w:r>
        <w:rPr>
          <w:rFonts w:hint="eastAsia" w:ascii="宋体" w:hAnsi="宋体" w:eastAsia="宋体" w:cs="宋体"/>
        </w:rPr>
        <w:t>应</w:t>
      </w:r>
      <w:r>
        <w:rPr>
          <w:rFonts w:hint="eastAsia" w:ascii="宋体" w:hAnsi="宋体" w:eastAsia="宋体" w:cs="宋体"/>
        </w:rPr>
        <w:t>会</w:t>
      </w:r>
      <w:r>
        <w:rPr>
          <w:rFonts w:hint="eastAsia" w:ascii="宋体" w:hAnsi="宋体" w:eastAsia="宋体" w:cs="宋体"/>
        </w:rPr>
        <w:t>产</w:t>
      </w:r>
      <w:r>
        <w:rPr>
          <w:rFonts w:hint="eastAsia" w:ascii="宋体" w:hAnsi="宋体" w:eastAsia="宋体" w:cs="宋体"/>
        </w:rPr>
        <w:t>生非特异性</w:t>
      </w: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合反</w:t>
      </w:r>
      <w:r>
        <w:rPr>
          <w:rFonts w:hint="eastAsia" w:ascii="宋体" w:hAnsi="宋体" w:eastAsia="宋体" w:cs="宋体"/>
        </w:rPr>
        <w:t>应</w:t>
      </w:r>
      <w:r>
        <w:rPr>
          <w:rFonts w:hint="eastAsia" w:ascii="宋体" w:hAnsi="宋体" w:eastAsia="宋体" w:cs="宋体"/>
          <w:w w:val="130"/>
        </w:rPr>
        <w:t>，</w:t>
      </w:r>
      <w:r>
        <w:rPr>
          <w:rFonts w:hint="eastAsia" w:ascii="宋体" w:hAnsi="宋体" w:eastAsia="宋体" w:cs="宋体"/>
        </w:rPr>
        <w:t>产</w:t>
      </w:r>
      <w:r>
        <w:rPr>
          <w:rFonts w:hint="eastAsia" w:ascii="宋体" w:hAnsi="宋体" w:eastAsia="宋体" w:cs="宋体"/>
        </w:rPr>
        <w:t>生</w:t>
      </w:r>
      <w:r>
        <w:rPr>
          <w:rFonts w:hint="eastAsia" w:ascii="宋体" w:hAnsi="宋体" w:eastAsia="宋体" w:cs="宋体"/>
        </w:rPr>
        <w:t>较</w:t>
      </w:r>
      <w:r>
        <w:rPr>
          <w:rFonts w:hint="eastAsia" w:ascii="宋体" w:hAnsi="宋体" w:eastAsia="宋体" w:cs="宋体"/>
        </w:rPr>
        <w:t>高背景。非特异</w:t>
      </w: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合性封</w:t>
      </w:r>
      <w:r>
        <w:rPr>
          <w:rFonts w:hint="eastAsia" w:ascii="宋体" w:hAnsi="宋体" w:eastAsia="宋体" w:cs="宋体"/>
        </w:rPr>
        <w:t>闭</w:t>
      </w:r>
      <w:r>
        <w:rPr>
          <w:rFonts w:hint="eastAsia" w:ascii="宋体" w:hAnsi="宋体" w:eastAsia="宋体" w:cs="宋体"/>
        </w:rPr>
        <w:t xml:space="preserve">液由 </w:t>
      </w:r>
      <w:r>
        <w:rPr>
          <w:rFonts w:hint="eastAsia" w:ascii="宋体" w:hAnsi="宋体" w:eastAsia="宋体" w:cs="宋体"/>
        </w:rPr>
        <w:t>BSA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</w:rPr>
        <w:t>动</w:t>
      </w:r>
      <w:r>
        <w:rPr>
          <w:rFonts w:hint="eastAsia" w:ascii="宋体" w:hAnsi="宋体" w:eastAsia="宋体" w:cs="宋体"/>
        </w:rPr>
        <w:t>物血清、防腐</w:t>
      </w:r>
      <w:r>
        <w:rPr>
          <w:rFonts w:hint="eastAsia" w:ascii="宋体" w:hAnsi="宋体" w:eastAsia="宋体" w:cs="宋体"/>
        </w:rPr>
        <w:t>剂</w:t>
      </w:r>
      <w:r>
        <w:rPr>
          <w:rFonts w:hint="eastAsia" w:ascii="宋体" w:hAnsi="宋体" w:eastAsia="宋体" w:cs="宋体"/>
        </w:rPr>
        <w:t>等</w:t>
      </w:r>
      <w:r>
        <w:rPr>
          <w:rFonts w:hint="eastAsia" w:ascii="宋体" w:hAnsi="宋体" w:eastAsia="宋体" w:cs="宋体"/>
        </w:rPr>
        <w:t>组</w:t>
      </w:r>
      <w:r>
        <w:rPr>
          <w:rFonts w:hint="eastAsia" w:ascii="宋体" w:hAnsi="宋体" w:eastAsia="宋体" w:cs="宋体"/>
        </w:rPr>
        <w:t>成，能</w:t>
      </w:r>
      <w:r>
        <w:rPr>
          <w:rFonts w:hint="eastAsia" w:ascii="宋体" w:hAnsi="宋体" w:eastAsia="宋体" w:cs="宋体"/>
        </w:rPr>
        <w:t>够</w:t>
      </w:r>
      <w:r>
        <w:rPr>
          <w:rFonts w:hint="eastAsia" w:ascii="宋体" w:hAnsi="宋体" w:eastAsia="宋体" w:cs="宋体"/>
        </w:rPr>
        <w:t>很好的非特异性</w:t>
      </w: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合反</w:t>
      </w:r>
      <w:r>
        <w:rPr>
          <w:rFonts w:hint="eastAsia" w:ascii="宋体" w:hAnsi="宋体" w:eastAsia="宋体" w:cs="宋体"/>
        </w:rPr>
        <w:t>应</w:t>
      </w:r>
      <w:r>
        <w:rPr>
          <w:rFonts w:hint="eastAsia" w:ascii="宋体" w:hAnsi="宋体" w:eastAsia="宋体" w:cs="宋体"/>
        </w:rPr>
        <w:t>，尤其适用于免疫</w:t>
      </w:r>
      <w:r>
        <w:rPr>
          <w:rFonts w:hint="eastAsia" w:ascii="宋体" w:hAnsi="宋体" w:eastAsia="宋体" w:cs="宋体"/>
        </w:rPr>
        <w:t>组</w:t>
      </w:r>
      <w:r>
        <w:rPr>
          <w:rFonts w:hint="eastAsia" w:ascii="宋体" w:hAnsi="宋体" w:eastAsia="宋体" w:cs="宋体"/>
        </w:rPr>
        <w:t>化中封</w:t>
      </w:r>
      <w:r>
        <w:rPr>
          <w:rFonts w:hint="eastAsia" w:ascii="宋体" w:hAnsi="宋体" w:eastAsia="宋体" w:cs="宋体"/>
        </w:rPr>
        <w:t>闭</w:t>
      </w:r>
      <w:r>
        <w:rPr>
          <w:rFonts w:hint="eastAsia" w:ascii="宋体" w:hAnsi="宋体" w:eastAsia="宋体" w:cs="宋体"/>
        </w:rPr>
        <w:t>内源性</w:t>
      </w:r>
      <w:r>
        <w:rPr>
          <w:rFonts w:hint="eastAsia" w:ascii="宋体" w:hAnsi="宋体" w:eastAsia="宋体" w:cs="宋体"/>
        </w:rPr>
        <w:t>亲</w:t>
      </w:r>
      <w:r>
        <w:rPr>
          <w:rFonts w:hint="eastAsia" w:ascii="宋体" w:hAnsi="宋体" w:eastAsia="宋体" w:cs="宋体"/>
        </w:rPr>
        <w:t>和素的活性。</w:t>
      </w:r>
    </w:p>
    <w:p>
      <w:pPr>
        <w:pStyle w:val="3"/>
        <w:spacing w:before="11"/>
        <w:rPr>
          <w:rFonts w:hint="eastAsia" w:ascii="宋体" w:hAnsi="宋体" w:eastAsia="宋体" w:cs="宋体"/>
          <w:sz w:val="30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产品组成：</w:t>
      </w:r>
    </w:p>
    <w:p>
      <w:pPr>
        <w:pStyle w:val="3"/>
        <w:rPr>
          <w:rFonts w:hint="eastAsia" w:ascii="宋体" w:hAnsi="宋体" w:eastAsia="宋体" w:cs="宋体"/>
          <w:b/>
          <w:sz w:val="24"/>
        </w:rPr>
      </w:pPr>
    </w:p>
    <w:p>
      <w:pPr>
        <w:pStyle w:val="3"/>
        <w:spacing w:before="1"/>
        <w:rPr>
          <w:rFonts w:hint="eastAsia" w:ascii="宋体" w:hAnsi="宋体" w:eastAsia="宋体" w:cs="宋体"/>
          <w:b/>
          <w:sz w:val="22"/>
        </w:rPr>
      </w:pPr>
    </w:p>
    <w:p>
      <w:pPr>
        <w:tabs>
          <w:tab w:val="left" w:pos="6795"/>
          <w:tab w:val="left" w:pos="8042"/>
        </w:tabs>
        <w:spacing w:before="0"/>
        <w:ind w:left="3537" w:right="0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非特异</w:t>
      </w:r>
      <w:r>
        <w:rPr>
          <w:rFonts w:hint="eastAsia" w:ascii="宋体" w:hAnsi="宋体" w:eastAsia="宋体" w:cs="宋体"/>
          <w:sz w:val="21"/>
        </w:rPr>
        <w:t>结</w:t>
      </w:r>
      <w:r>
        <w:rPr>
          <w:rFonts w:hint="eastAsia" w:ascii="宋体" w:hAnsi="宋体" w:eastAsia="宋体" w:cs="宋体"/>
          <w:sz w:val="21"/>
        </w:rPr>
        <w:t>合性封</w:t>
      </w:r>
      <w:r>
        <w:rPr>
          <w:rFonts w:hint="eastAsia" w:ascii="宋体" w:hAnsi="宋体" w:eastAsia="宋体" w:cs="宋体"/>
          <w:sz w:val="21"/>
        </w:rPr>
        <w:t>闭</w:t>
      </w:r>
      <w:r>
        <w:rPr>
          <w:rFonts w:hint="eastAsia" w:ascii="宋体" w:hAnsi="宋体" w:eastAsia="宋体" w:cs="宋体"/>
          <w:sz w:val="21"/>
        </w:rPr>
        <w:t>液</w:t>
      </w:r>
      <w:r>
        <w:rPr>
          <w:rFonts w:hint="eastAsia" w:ascii="宋体" w:hAnsi="宋体" w:eastAsia="宋体" w:cs="宋体"/>
          <w:sz w:val="21"/>
        </w:rPr>
        <w:tab/>
      </w:r>
      <w:r>
        <w:rPr>
          <w:rFonts w:hint="eastAsia" w:ascii="宋体" w:hAnsi="宋体" w:eastAsia="宋体" w:cs="宋体"/>
          <w:sz w:val="19"/>
        </w:rPr>
        <w:t>100ml</w:t>
      </w:r>
      <w:r>
        <w:rPr>
          <w:rFonts w:hint="eastAsia" w:ascii="宋体" w:hAnsi="宋体" w:eastAsia="宋体" w:cs="宋体"/>
          <w:sz w:val="19"/>
        </w:rPr>
        <w:tab/>
      </w:r>
      <w:r>
        <w:rPr>
          <w:rFonts w:hint="eastAsia" w:ascii="宋体" w:hAnsi="宋体" w:eastAsia="宋体" w:cs="宋体"/>
          <w:sz w:val="21"/>
        </w:rPr>
        <w:t>4℃</w:t>
      </w:r>
    </w:p>
    <w:p>
      <w:pPr>
        <w:pStyle w:val="3"/>
        <w:spacing w:before="9"/>
        <w:rPr>
          <w:rFonts w:hint="eastAsia" w:ascii="宋体" w:hAnsi="宋体" w:eastAsia="宋体" w:cs="宋体"/>
          <w:sz w:val="39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1945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操作步骤</w:t>
      </w:r>
      <w:r>
        <w:rPr>
          <w:rFonts w:hint="eastAsia" w:ascii="宋体" w:hAnsi="宋体" w:eastAsia="宋体" w:cs="宋体"/>
          <w:sz w:val="21"/>
        </w:rPr>
        <w:t>(</w:t>
      </w:r>
      <w:r>
        <w:rPr>
          <w:rFonts w:hint="eastAsia" w:ascii="宋体" w:hAnsi="宋体" w:eastAsia="宋体" w:cs="宋体"/>
          <w:sz w:val="21"/>
        </w:rPr>
        <w:t>仅</w:t>
      </w:r>
      <w:r>
        <w:rPr>
          <w:rFonts w:hint="eastAsia" w:ascii="宋体" w:hAnsi="宋体" w:eastAsia="宋体" w:cs="宋体"/>
          <w:sz w:val="21"/>
        </w:rPr>
        <w:t>供参考</w:t>
      </w:r>
      <w:r>
        <w:rPr>
          <w:rFonts w:hint="eastAsia" w:ascii="宋体" w:hAnsi="宋体" w:eastAsia="宋体" w:cs="宋体"/>
          <w:sz w:val="21"/>
        </w:rPr>
        <w:t>)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194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、切片</w:t>
      </w:r>
      <w:r>
        <w:rPr>
          <w:rFonts w:hint="eastAsia" w:ascii="宋体" w:hAnsi="宋体" w:eastAsia="宋体" w:cs="宋体"/>
        </w:rPr>
        <w:t>贴</w:t>
      </w:r>
      <w:r>
        <w:rPr>
          <w:rFonts w:hint="eastAsia" w:ascii="宋体" w:hAnsi="宋体" w:eastAsia="宋体" w:cs="宋体"/>
        </w:rPr>
        <w:t xml:space="preserve">于玻片上，用 </w:t>
      </w:r>
      <w:r>
        <w:rPr>
          <w:rFonts w:hint="eastAsia" w:ascii="宋体" w:hAnsi="宋体" w:eastAsia="宋体" w:cs="宋体"/>
        </w:rPr>
        <w:t xml:space="preserve">PBS </w:t>
      </w:r>
      <w:r>
        <w:rPr>
          <w:rFonts w:hint="eastAsia" w:ascii="宋体" w:hAnsi="宋体" w:eastAsia="宋体" w:cs="宋体"/>
        </w:rPr>
        <w:t xml:space="preserve">或 </w:t>
      </w:r>
      <w:r>
        <w:rPr>
          <w:rFonts w:hint="eastAsia" w:ascii="宋体" w:hAnsi="宋体" w:eastAsia="宋体" w:cs="宋体"/>
        </w:rPr>
        <w:t xml:space="preserve">Tris </w:t>
      </w:r>
      <w:r>
        <w:rPr>
          <w:rFonts w:hint="eastAsia" w:ascii="宋体" w:hAnsi="宋体" w:eastAsia="宋体" w:cs="宋体"/>
        </w:rPr>
        <w:t>缓</w:t>
      </w:r>
      <w:r>
        <w:rPr>
          <w:rFonts w:hint="eastAsia" w:ascii="宋体" w:hAnsi="宋体" w:eastAsia="宋体" w:cs="宋体"/>
        </w:rPr>
        <w:t>冲液</w:t>
      </w:r>
      <w:r>
        <w:rPr>
          <w:rFonts w:hint="eastAsia" w:ascii="宋体" w:hAnsi="宋体" w:eastAsia="宋体" w:cs="宋体"/>
        </w:rPr>
        <w:t>轻轻</w:t>
      </w:r>
      <w:r>
        <w:rPr>
          <w:rFonts w:hint="eastAsia" w:ascii="宋体" w:hAnsi="宋体" w:eastAsia="宋体" w:cs="宋体"/>
        </w:rPr>
        <w:t>清洗。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" w:line="400" w:lineRule="exact"/>
        <w:ind w:left="194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t>、将玻片吸干或吹干，入非特异</w:t>
      </w: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合性封</w:t>
      </w:r>
      <w:r>
        <w:rPr>
          <w:rFonts w:hint="eastAsia" w:ascii="宋体" w:hAnsi="宋体" w:eastAsia="宋体" w:cs="宋体"/>
        </w:rPr>
        <w:t>闭</w:t>
      </w:r>
      <w:r>
        <w:rPr>
          <w:rFonts w:hint="eastAsia" w:ascii="宋体" w:hAnsi="宋体" w:eastAsia="宋体" w:cs="宋体"/>
        </w:rPr>
        <w:t xml:space="preserve">液，孵育 </w:t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t>～</w:t>
      </w:r>
      <w:r>
        <w:rPr>
          <w:rFonts w:hint="eastAsia" w:ascii="宋体" w:hAnsi="宋体" w:eastAsia="宋体" w:cs="宋体"/>
        </w:rPr>
        <w:t>20min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194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w w:val="105"/>
        </w:rPr>
        <w:t>、无需清洗，直接将玻片吸干或吹干。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 w:line="400" w:lineRule="exact"/>
        <w:ind w:left="194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4</w:t>
      </w:r>
      <w:r>
        <w:rPr>
          <w:rFonts w:hint="eastAsia" w:ascii="宋体" w:hAnsi="宋体" w:eastAsia="宋体" w:cs="宋体"/>
          <w:w w:val="105"/>
        </w:rPr>
        <w:t>、在未</w:t>
      </w:r>
      <w:r>
        <w:rPr>
          <w:rFonts w:hint="eastAsia" w:ascii="宋体" w:hAnsi="宋体" w:eastAsia="宋体" w:cs="宋体"/>
          <w:w w:val="105"/>
        </w:rPr>
        <w:t>标记</w:t>
      </w:r>
      <w:r>
        <w:rPr>
          <w:rFonts w:hint="eastAsia" w:ascii="宋体" w:hAnsi="宋体" w:eastAsia="宋体" w:cs="宋体"/>
          <w:w w:val="105"/>
        </w:rPr>
        <w:t>的一抗中孵育。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400" w:lineRule="exact"/>
        <w:textAlignment w:val="auto"/>
        <w:rPr>
          <w:rFonts w:hint="eastAsia" w:ascii="宋体" w:hAnsi="宋体" w:eastAsia="宋体" w:cs="宋体"/>
          <w:sz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注意事项：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400" w:lineRule="exact"/>
        <w:ind w:left="194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</w:t>
      </w:r>
      <w:r>
        <w:rPr>
          <w:rFonts w:hint="eastAsia" w:ascii="宋体" w:hAnsi="宋体" w:eastAsia="宋体" w:cs="宋体"/>
          <w:w w:val="130"/>
        </w:rPr>
        <w:t xml:space="preserve">、 </w:t>
      </w:r>
      <w:r>
        <w:rPr>
          <w:rFonts w:hint="eastAsia" w:ascii="宋体" w:hAnsi="宋体" w:eastAsia="宋体" w:cs="宋体"/>
          <w:w w:val="105"/>
        </w:rPr>
        <w:t>避免反</w:t>
      </w:r>
      <w:r>
        <w:rPr>
          <w:rFonts w:hint="eastAsia" w:ascii="宋体" w:hAnsi="宋体" w:eastAsia="宋体" w:cs="宋体"/>
          <w:w w:val="105"/>
        </w:rPr>
        <w:t>复冻</w:t>
      </w:r>
      <w:r>
        <w:rPr>
          <w:rFonts w:hint="eastAsia" w:ascii="宋体" w:hAnsi="宋体" w:eastAsia="宋体" w:cs="宋体"/>
          <w:w w:val="105"/>
        </w:rPr>
        <w:t>融，否</w:t>
      </w:r>
      <w:r>
        <w:rPr>
          <w:rFonts w:hint="eastAsia" w:ascii="宋体" w:hAnsi="宋体" w:eastAsia="宋体" w:cs="宋体"/>
          <w:w w:val="105"/>
        </w:rPr>
        <w:t>则</w:t>
      </w:r>
      <w:r>
        <w:rPr>
          <w:rFonts w:hint="eastAsia" w:ascii="宋体" w:hAnsi="宋体" w:eastAsia="宋体" w:cs="宋体"/>
          <w:w w:val="105"/>
        </w:rPr>
        <w:t>容易失效。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194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w w:val="130"/>
        </w:rPr>
        <w:t xml:space="preserve">、 </w:t>
      </w:r>
      <w:r>
        <w:rPr>
          <w:rFonts w:hint="eastAsia" w:ascii="宋体" w:hAnsi="宋体" w:eastAsia="宋体" w:cs="宋体"/>
          <w:w w:val="105"/>
        </w:rPr>
        <w:t>为</w:t>
      </w:r>
      <w:r>
        <w:rPr>
          <w:rFonts w:hint="eastAsia" w:ascii="宋体" w:hAnsi="宋体" w:eastAsia="宋体" w:cs="宋体"/>
          <w:w w:val="105"/>
        </w:rPr>
        <w:t>了您的安全和健康，</w:t>
      </w:r>
      <w:r>
        <w:rPr>
          <w:rFonts w:hint="eastAsia" w:ascii="宋体" w:hAnsi="宋体" w:eastAsia="宋体" w:cs="宋体"/>
          <w:w w:val="105"/>
        </w:rPr>
        <w:t>请</w:t>
      </w:r>
      <w:r>
        <w:rPr>
          <w:rFonts w:hint="eastAsia" w:ascii="宋体" w:hAnsi="宋体" w:eastAsia="宋体" w:cs="宋体"/>
          <w:w w:val="105"/>
        </w:rPr>
        <w:t>穿</w:t>
      </w:r>
      <w:r>
        <w:rPr>
          <w:rFonts w:hint="eastAsia" w:ascii="宋体" w:hAnsi="宋体" w:eastAsia="宋体" w:cs="宋体"/>
          <w:w w:val="105"/>
        </w:rPr>
        <w:t>实验</w:t>
      </w:r>
      <w:r>
        <w:rPr>
          <w:rFonts w:hint="eastAsia" w:ascii="宋体" w:hAnsi="宋体" w:eastAsia="宋体" w:cs="宋体"/>
          <w:w w:val="105"/>
        </w:rPr>
        <w:t>服并戴一次性手套操作。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400" w:lineRule="exact"/>
        <w:textAlignment w:val="auto"/>
        <w:rPr>
          <w:rFonts w:hint="eastAsia" w:ascii="宋体" w:hAnsi="宋体" w:eastAsia="宋体" w:cs="宋体"/>
          <w:sz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1945" w:right="0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w w:val="105"/>
          <w:sz w:val="24"/>
        </w:rPr>
        <w:t>有效期：</w:t>
      </w:r>
      <w:r>
        <w:rPr>
          <w:rFonts w:hint="eastAsia" w:ascii="宋体" w:hAnsi="宋体" w:eastAsia="宋体" w:cs="宋体"/>
          <w:w w:val="105"/>
          <w:sz w:val="21"/>
        </w:rPr>
        <w:t>6</w:t>
      </w:r>
      <w:r>
        <w:rPr>
          <w:rFonts w:hint="eastAsia" w:ascii="宋体" w:hAnsi="宋体" w:eastAsia="宋体" w:cs="宋体"/>
          <w:spacing w:val="58"/>
          <w:w w:val="105"/>
          <w:sz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</w:rPr>
        <w:t>个月有效。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12"/>
        <w:rPr>
          <w:rFonts w:hint="eastAsia" w:ascii="宋体" w:hAnsi="宋体" w:eastAsia="宋体" w:cs="宋体"/>
          <w:sz w:val="25"/>
        </w:rPr>
      </w:pPr>
    </w:p>
    <w:p>
      <w:pPr>
        <w:tabs>
          <w:tab w:val="left" w:pos="7258"/>
        </w:tabs>
        <w:spacing w:before="100"/>
        <w:ind w:left="2706" w:right="0" w:firstLine="0"/>
        <w:jc w:val="left"/>
        <w:rPr>
          <w:rFonts w:hint="eastAsia" w:ascii="宋体" w:hAnsi="宋体" w:eastAsia="宋体" w:cs="宋体"/>
          <w:b/>
          <w:sz w:val="18"/>
        </w:rPr>
      </w:pPr>
    </w:p>
    <w:sectPr>
      <w:type w:val="continuous"/>
      <w:pgSz w:w="11900" w:h="16840"/>
      <w:pgMar w:top="660" w:right="1400" w:bottom="280" w:left="1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宋体"/>
        <w:lang w:val="en-US" w:eastAsia="zh-CN"/>
      </w:rPr>
    </w:pPr>
    <w:r>
      <w:rPr>
        <w:sz w:val="18"/>
      </w:rPr>
      <w:pict>
        <v:shape id="PowerPlusWaterMarkObject43663" o:spid="_x0000_s2050" o:spt="136" type="#_x0000_t136" style="position:absolute;left:0pt;height:81.8pt;width:650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-17780</wp:posOffset>
              </wp:positionV>
              <wp:extent cx="1913890" cy="892175"/>
              <wp:effectExtent l="0" t="0" r="10160" b="317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752340" y="452120"/>
                        <a:ext cx="1913890" cy="892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7.2pt;margin-top:-1.4pt;height:70.25pt;width:150.7pt;z-index:251658240;mso-width-relative:page;mso-height-relative:page;" fillcolor="#FFFFFF" filled="t" stroked="f" coordsize="21600,21600" o:gfxdata="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pkC4XYAAAACwEAAA8AAAAAAAAAAQAgAAAAIgAAAGRycy9kb3du&#10;cmV2LnhtbFBLAQIUABQAAAAIAIdO4kB2XhG3xgEAAFQDAAAOAAAAAAAAAAEAIAAAACcBAABkcnMv&#10;ZTJvRG9jLnhtbFBLBQYAAAAABgAGAFkBAABf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 xml:space="preserve">                                   </w: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1" name="图片 1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B5D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945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S UI Gothic" w:hAnsi="MS UI Gothic" w:eastAsia="MS UI Gothic" w:cs="MS UI Gothic"/>
      <w:sz w:val="21"/>
      <w:szCs w:val="21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2019-04-22T02:16:00Z</dcterms:created>
  <dc:creator>94099</dc:creator>
  <cp:lastModifiedBy>Cute  princess</cp:lastModifiedBy>
  <dcterms:modified xsi:type="dcterms:W3CDTF">2019-04-22T02:19:06Z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2019-04-22T00:00:00Z</vt:filetime>
  </property>
  <property fmtid="{D5CDD505-2E9C-101B-9397-08002B2CF9AE}" pid="5" name="KSOProductBuildVer">
    <vt:lpwstr>2052-11.1.0.8612</vt:lpwstr>
  </property>
</Properties>
</file>