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69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苏丹黑 B 染色液(细胞专用)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607"/>
            <w:col w:w="66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脂质(Lipid)是中性脂肪、类脂及其衍生物的总称，其共同的物理特性是不溶于水，易溶 于有机溶剂(如乙醇、乙醚等)。人体的脂肪主要有两种：1、储存脂肪，如中性脂肪，主要分布于皮下、肾、胰腺等部位。2、结构脂肪，如类脂(磷脂、糖脂、胆固醇等)，主要分布</w:t>
      </w:r>
      <w:r>
        <w:rPr>
          <w:rFonts w:hint="eastAsia" w:ascii="宋体" w:hAnsi="宋体" w:eastAsia="宋体" w:cs="宋体"/>
        </w:rPr>
        <w:t>于细胞内。中性脂肪(Neutral  fat)是由三分子脂肪酸和一分子甘油组成的脂类，呈中性。中性脂肪染色经常采用苏丹Ⅱ、</w:t>
      </w:r>
      <w:r>
        <w:rPr>
          <w:rFonts w:hint="eastAsia" w:ascii="宋体" w:hAnsi="宋体" w:eastAsia="宋体" w:cs="宋体"/>
        </w:rPr>
        <w:t>苏丹Ⅲ、</w:t>
      </w:r>
      <w:r>
        <w:rPr>
          <w:rFonts w:hint="eastAsia" w:ascii="宋体" w:hAnsi="宋体" w:eastAsia="宋体" w:cs="宋体"/>
        </w:rPr>
        <w:t>苏丹Ⅳ、</w:t>
      </w:r>
      <w:r>
        <w:rPr>
          <w:rFonts w:hint="eastAsia" w:ascii="宋体" w:hAnsi="宋体" w:eastAsia="宋体" w:cs="宋体"/>
        </w:rPr>
        <w:t>苏丹黑 B、油红 O 法等。传统方法采用苏丹染料，最近发现偶氮染料油红 O 更适合脂肪的染色。油红 O 是很强的脂溶剂和染脂剂，较易与甘油三脂结合呈小脂滴状，与磷脂结合力稍差。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苏丹黑 B 染色液(细胞且用)简称 SBB 染色溶液，其原理是苏丹黑 B 属于脂溶</w:t>
      </w:r>
      <w:r>
        <w:rPr>
          <w:rFonts w:hint="eastAsia" w:ascii="宋体" w:hAnsi="宋体" w:eastAsia="宋体" w:cs="宋体"/>
        </w:rPr>
        <w:t>性染料，可溶解于细胞质内的含脂结构中，使脂肪、磷脂、胆固醇等脂类现棕黑或深黑色，并定位于细胞质。神经磷脂、脑磷脂等行苏丹黑 B 染色后，呈阳性反应；肾透明细胞癌、卵巢纤维瘤等行苏丹黑 B 染色后，呈阴性反应。</w:t>
      </w:r>
    </w:p>
    <w:p>
      <w:pPr>
        <w:pStyle w:val="3"/>
        <w:spacing w:before="7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6"/>
        <w:rPr>
          <w:rFonts w:ascii="Microsoft JhengHei"/>
          <w:b/>
          <w:sz w:val="24"/>
        </w:rPr>
      </w:pPr>
    </w:p>
    <w:tbl>
      <w:tblPr>
        <w:tblStyle w:val="6"/>
        <w:tblW w:w="6695" w:type="dxa"/>
        <w:tblInd w:w="1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1275"/>
        <w:gridCol w:w="1158"/>
        <w:gridCol w:w="473"/>
        <w:gridCol w:w="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58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line="326" w:lineRule="exact"/>
              <w:ind w:left="250" w:right="206"/>
              <w:rPr>
                <w:sz w:val="21"/>
              </w:rPr>
            </w:pPr>
            <w:r>
              <w:rPr>
                <w:sz w:val="21"/>
              </w:rPr>
              <w:t>3×20ml</w:t>
            </w:r>
          </w:p>
        </w:tc>
        <w:tc>
          <w:tcPr>
            <w:tcW w:w="1158" w:type="dxa"/>
          </w:tcPr>
          <w:p>
            <w:pPr>
              <w:pStyle w:val="11"/>
              <w:spacing w:line="326" w:lineRule="exact"/>
              <w:ind w:left="205" w:right="134"/>
              <w:rPr>
                <w:sz w:val="21"/>
              </w:rPr>
            </w:pPr>
            <w:r>
              <w:rPr>
                <w:sz w:val="21"/>
              </w:rPr>
              <w:t>3×50ml</w:t>
            </w:r>
          </w:p>
        </w:tc>
        <w:tc>
          <w:tcPr>
            <w:tcW w:w="1004" w:type="dxa"/>
            <w:gridSpan w:val="2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8" w:type="dxa"/>
          </w:tcPr>
          <w:p>
            <w:pPr>
              <w:pStyle w:val="11"/>
              <w:spacing w:before="38" w:line="363" w:lineRule="exact"/>
              <w:ind w:left="50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SBB Fixative</w:t>
            </w:r>
          </w:p>
        </w:tc>
        <w:tc>
          <w:tcPr>
            <w:tcW w:w="1275" w:type="dxa"/>
          </w:tcPr>
          <w:p>
            <w:pPr>
              <w:pStyle w:val="11"/>
              <w:spacing w:before="14"/>
              <w:ind w:left="250" w:right="185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158" w:type="dxa"/>
          </w:tcPr>
          <w:p>
            <w:pPr>
              <w:pStyle w:val="11"/>
              <w:spacing w:before="14"/>
              <w:ind w:left="205" w:right="111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473" w:type="dxa"/>
          </w:tcPr>
          <w:p>
            <w:pPr>
              <w:pStyle w:val="11"/>
              <w:spacing w:before="38" w:line="363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before="106"/>
              <w:ind w:left="43" w:right="2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58" w:type="dxa"/>
          </w:tcPr>
          <w:p>
            <w:pPr>
              <w:pStyle w:val="11"/>
              <w:tabs>
                <w:tab w:val="left" w:pos="1460"/>
              </w:tabs>
              <w:spacing w:before="21" w:line="363" w:lineRule="exact"/>
              <w:ind w:left="50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B1: SBB Stain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1275" w:type="dxa"/>
          </w:tcPr>
          <w:p>
            <w:pPr>
              <w:pStyle w:val="11"/>
              <w:spacing w:before="21" w:line="363" w:lineRule="exact"/>
              <w:ind w:left="250" w:right="115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1158" w:type="dxa"/>
          </w:tcPr>
          <w:p>
            <w:pPr>
              <w:pStyle w:val="11"/>
              <w:spacing w:before="21" w:line="363" w:lineRule="exact"/>
              <w:ind w:left="205" w:right="69"/>
              <w:rPr>
                <w:sz w:val="21"/>
              </w:rPr>
            </w:pPr>
            <w:r>
              <w:rPr>
                <w:sz w:val="21"/>
              </w:rPr>
              <w:t>25ml</w:t>
            </w:r>
          </w:p>
        </w:tc>
        <w:tc>
          <w:tcPr>
            <w:tcW w:w="473" w:type="dxa"/>
          </w:tcPr>
          <w:p>
            <w:pPr>
              <w:pStyle w:val="11"/>
              <w:spacing w:line="383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before="63"/>
              <w:ind w:left="43" w:right="2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258" w:type="dxa"/>
          </w:tcPr>
          <w:p>
            <w:pPr>
              <w:pStyle w:val="11"/>
              <w:tabs>
                <w:tab w:val="left" w:pos="1460"/>
              </w:tabs>
              <w:spacing w:line="334" w:lineRule="exact"/>
              <w:ind w:left="50"/>
              <w:jc w:val="left"/>
              <w:rPr>
                <w:sz w:val="21"/>
              </w:rPr>
            </w:pPr>
            <w:r>
              <w:rPr>
                <w:position w:val="-2"/>
                <w:sz w:val="21"/>
              </w:rPr>
              <w:t>SBB</w:t>
            </w:r>
            <w:r>
              <w:rPr>
                <w:spacing w:val="-2"/>
                <w:position w:val="-2"/>
                <w:sz w:val="21"/>
              </w:rPr>
              <w:t xml:space="preserve"> </w:t>
            </w:r>
            <w:r>
              <w:rPr>
                <w:position w:val="-2"/>
                <w:sz w:val="21"/>
              </w:rPr>
              <w:t>Stain</w:t>
            </w:r>
            <w:r>
              <w:rPr>
                <w:position w:val="-2"/>
                <w:sz w:val="21"/>
              </w:rPr>
              <w:tab/>
            </w:r>
            <w:r>
              <w:rPr>
                <w:sz w:val="21"/>
              </w:rPr>
              <w:t>B2: SBB Stain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1275" w:type="dxa"/>
          </w:tcPr>
          <w:p>
            <w:pPr>
              <w:pStyle w:val="11"/>
              <w:spacing w:before="21" w:line="312" w:lineRule="exact"/>
              <w:ind w:left="250" w:right="115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1158" w:type="dxa"/>
          </w:tcPr>
          <w:p>
            <w:pPr>
              <w:pStyle w:val="11"/>
              <w:spacing w:before="21" w:line="312" w:lineRule="exact"/>
              <w:ind w:left="205" w:right="69"/>
              <w:rPr>
                <w:sz w:val="21"/>
              </w:rPr>
            </w:pPr>
            <w:r>
              <w:rPr>
                <w:sz w:val="21"/>
              </w:rPr>
              <w:t>25ml</w:t>
            </w:r>
          </w:p>
        </w:tc>
        <w:tc>
          <w:tcPr>
            <w:tcW w:w="473" w:type="dxa"/>
          </w:tcPr>
          <w:p>
            <w:pPr>
              <w:pStyle w:val="11"/>
              <w:spacing w:line="334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89"/>
        <w:ind w:left="1202"/>
      </w:pPr>
      <w:r>
        <w:rPr>
          <w:rFonts w:hint="eastAsia" w:ascii="宋体" w:eastAsia="宋体"/>
          <w:w w:val="110"/>
        </w:rPr>
        <w:t>临</w:t>
      </w:r>
      <w:r>
        <w:rPr>
          <w:w w:val="110"/>
        </w:rPr>
        <w:t xml:space="preserve">用前，取 </w:t>
      </w:r>
      <w:r>
        <w:rPr>
          <w:rFonts w:hint="eastAsia" w:ascii="微软雅黑" w:eastAsia="微软雅黑"/>
          <w:w w:val="110"/>
        </w:rPr>
        <w:t>B1</w:t>
      </w:r>
      <w:r>
        <w:rPr>
          <w:w w:val="120"/>
        </w:rPr>
        <w:t>、</w:t>
      </w:r>
      <w:r>
        <w:rPr>
          <w:rFonts w:hint="eastAsia" w:ascii="微软雅黑" w:eastAsia="微软雅黑"/>
          <w:w w:val="110"/>
        </w:rPr>
        <w:t xml:space="preserve">B2 </w:t>
      </w:r>
      <w:r>
        <w:rPr>
          <w:w w:val="110"/>
        </w:rPr>
        <w:t>等量混合，即</w:t>
      </w:r>
      <w:r>
        <w:rPr>
          <w:rFonts w:hint="eastAsia" w:ascii="宋体" w:eastAsia="宋体"/>
          <w:w w:val="110"/>
        </w:rPr>
        <w:t xml:space="preserve">为 </w:t>
      </w:r>
      <w:r>
        <w:rPr>
          <w:rFonts w:hint="eastAsia" w:ascii="微软雅黑" w:eastAsia="微软雅黑"/>
          <w:w w:val="110"/>
        </w:rPr>
        <w:t>SBB Stain</w:t>
      </w:r>
      <w:r>
        <w:rPr>
          <w:w w:val="110"/>
        </w:rPr>
        <w:t>，即配即用。</w:t>
      </w:r>
    </w:p>
    <w:p>
      <w:pPr>
        <w:pStyle w:val="3"/>
        <w:tabs>
          <w:tab w:val="left" w:pos="4880"/>
          <w:tab w:val="left" w:pos="6082"/>
          <w:tab w:val="left" w:pos="6997"/>
        </w:tabs>
        <w:spacing w:before="17"/>
        <w:ind w:left="120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(C):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Wright</w:t>
      </w:r>
      <w:r>
        <w:rPr>
          <w:rFonts w:hint="eastAsia" w:ascii="微软雅黑" w:eastAsia="微软雅黑"/>
          <w:spacing w:val="-2"/>
        </w:rPr>
        <w:t xml:space="preserve"> </w:t>
      </w:r>
      <w:r>
        <w:rPr>
          <w:rFonts w:hint="eastAsia" w:ascii="微软雅黑" w:eastAsia="微软雅黑"/>
        </w:rPr>
        <w:t>Stain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20ml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50ml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  <w:bookmarkStart w:id="0" w:name="_GoBack"/>
      <w:bookmarkEnd w:id="0"/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</w:pPr>
      <w:r>
        <w:rPr>
          <w:rFonts w:hint="eastAsia" w:ascii="微软雅黑" w:eastAsia="微软雅黑"/>
          <w:w w:val="110"/>
        </w:rPr>
        <w:t>1</w:t>
      </w:r>
      <w:r>
        <w:rPr>
          <w:w w:val="130"/>
        </w:rPr>
        <w:t>、</w:t>
      </w:r>
      <w:r>
        <w:rPr>
          <w:rFonts w:hint="eastAsia" w:ascii="宋体" w:eastAsia="宋体"/>
          <w:w w:val="110"/>
        </w:rPr>
        <w:t>载</w:t>
      </w:r>
      <w:r>
        <w:rPr>
          <w:w w:val="110"/>
        </w:rPr>
        <w:t>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>、</w:t>
      </w:r>
      <w:r>
        <w:rPr>
          <w:rFonts w:hint="eastAsia" w:ascii="宋体" w:eastAsia="宋体"/>
          <w:w w:val="110"/>
        </w:rPr>
        <w:t>70%乙醇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  <w:r>
        <w:rPr>
          <w:rFonts w:hint="eastAsia" w:ascii="宋体" w:eastAsia="宋体"/>
          <w:w w:val="110"/>
        </w:rPr>
        <w:t>3、蒸馏水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  <w:r>
        <w:rPr>
          <w:rFonts w:hint="eastAsia" w:ascii="宋体" w:eastAsia="宋体"/>
          <w:w w:val="110"/>
        </w:rPr>
        <w:t>4、显微镜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ascii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icrosoft JhengHei" w:eastAsia="Microsoft JhengHei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  <w:r>
        <w:rPr>
          <w:rFonts w:hint="eastAsia" w:ascii="微软雅黑" w:eastAsia="微软雅黑"/>
          <w:w w:val="110"/>
        </w:rPr>
        <w:t>1</w:t>
      </w:r>
      <w:r>
        <w:rPr>
          <w:w w:val="120"/>
        </w:rPr>
        <w:t xml:space="preserve">、 </w:t>
      </w:r>
      <w:r>
        <w:rPr>
          <w:rFonts w:hint="eastAsia" w:ascii="宋体" w:eastAsia="宋体"/>
          <w:w w:val="110"/>
        </w:rPr>
        <w:t>制</w:t>
      </w:r>
      <w:r>
        <w:rPr>
          <w:rFonts w:hint="eastAsia" w:ascii="宋体" w:eastAsia="宋体"/>
          <w:w w:val="110"/>
        </w:rPr>
        <w:t>备新</w:t>
      </w:r>
      <w:r>
        <w:rPr>
          <w:rFonts w:hint="eastAsia" w:ascii="宋体" w:eastAsia="宋体"/>
          <w:w w:val="110"/>
        </w:rPr>
        <w:t>鲜骨髓、血液涂片，入 SBB Fixative 固定 10～15min。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  <w:r>
        <w:rPr>
          <w:rFonts w:hint="eastAsia" w:ascii="宋体" w:eastAsia="宋体"/>
          <w:w w:val="110"/>
        </w:rPr>
        <w:t>2、 取出涂片，放于流通的空气中 10～15min。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eastAsia="宋体"/>
          <w:w w:val="11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 w:right="2339" w:rightChars="1063"/>
        <w:textAlignment w:val="auto"/>
        <w:rPr>
          <w:rFonts w:hint="eastAsia" w:ascii="宋体" w:eastAsia="宋体"/>
          <w:w w:val="110"/>
        </w:rPr>
      </w:pPr>
      <w:r>
        <w:rPr>
          <w:rFonts w:hint="eastAsia" w:ascii="宋体" w:eastAsia="宋体"/>
          <w:w w:val="110"/>
        </w:rPr>
        <w:t>3、 入新配制好的 SBB Stain，室温(20～25℃)浸染 60min。4、 入 Sudan black B stain，浸染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 w:right="3659" w:rightChars="1663"/>
        <w:textAlignment w:val="auto"/>
        <w:rPr>
          <w:rFonts w:hint="eastAsia" w:ascii="宋体" w:eastAsia="宋体"/>
          <w:w w:val="110"/>
        </w:rPr>
      </w:pPr>
      <w:r>
        <w:rPr>
          <w:rFonts w:hint="eastAsia" w:ascii="宋体" w:eastAsia="宋体"/>
          <w:w w:val="110"/>
        </w:rPr>
        <w:t>5、 70%乙醇洗去多余染液，蒸馏水浸洗 1min。6、 Wright Stain 染色 20～30min。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sectPr>
          <w:pgSz w:w="11900" w:h="16840"/>
          <w:pgMar w:top="160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spacing w:before="3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ind w:left="313"/>
      </w:pPr>
      <w:r>
        <w:t>中性脂肪</w:t>
      </w:r>
    </w:p>
    <w:p>
      <w:pPr>
        <w:pStyle w:val="3"/>
        <w:spacing w:before="87"/>
        <w:ind w:left="313"/>
      </w:pPr>
      <w:r>
        <w:rPr>
          <w:rFonts w:hint="eastAsia" w:ascii="宋体" w:eastAsia="宋体"/>
        </w:rPr>
        <w:t>细</w:t>
      </w:r>
      <w:r>
        <w:t>胞核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7"/>
        <w:rPr>
          <w:sz w:val="18"/>
        </w:rPr>
      </w:pPr>
    </w:p>
    <w:p>
      <w:pPr>
        <w:pStyle w:val="3"/>
        <w:ind w:left="405"/>
      </w:pPr>
      <w:r>
        <w:t>棕黑色或深黑色</w:t>
      </w:r>
      <w:r>
        <w:rPr>
          <w:rFonts w:hint="eastAsia" w:ascii="宋体" w:eastAsia="宋体"/>
        </w:rPr>
        <w:t>颗</w:t>
      </w:r>
      <w:r>
        <w:t>粒</w:t>
      </w:r>
    </w:p>
    <w:p>
      <w:pPr>
        <w:pStyle w:val="3"/>
        <w:spacing w:before="87"/>
        <w:ind w:left="405"/>
      </w:pP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280" w:bottom="280" w:left="1680" w:header="720" w:footer="720" w:gutter="0"/>
          <w:cols w:equalWidth="0" w:num="3">
            <w:col w:w="1434" w:space="40"/>
            <w:col w:w="1194" w:space="1598"/>
            <w:col w:w="46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粒细胞系除早期原粒细胞阴性外，分化好的原粒细胞以下阶段细胞随细胞成熟而阳性反应增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强，衰老中性粒细胞反应程度减弱单核细胞系弱阳性，淋巴细胞系为阴性。浆细胞及巨核细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胞均为阴性。嗜酸性粒细胞和 Auer 小体呈强阳性反应。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  <w:sz w:val="24"/>
        </w:rPr>
        <w:t>阴性对照：</w:t>
      </w:r>
      <w:r>
        <w:rPr>
          <w:rFonts w:hint="eastAsia" w:ascii="宋体" w:hAnsi="宋体" w:eastAsia="宋体" w:cs="宋体"/>
          <w:w w:val="105"/>
        </w:rPr>
        <w:t>取相同样本入乙醚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氯仿、丙酮等量混合液，溶解一般脂肪，然后用预冷丙酮溶解磷脂，再进</w:t>
      </w:r>
      <w:r>
        <w:rPr>
          <w:rFonts w:hint="eastAsia" w:ascii="宋体" w:hAnsi="宋体" w:eastAsia="宋体" w:cs="宋体"/>
          <w:spacing w:val="-3"/>
          <w:w w:val="105"/>
        </w:rPr>
        <w:t xml:space="preserve">行 </w:t>
      </w:r>
      <w:r>
        <w:rPr>
          <w:rFonts w:hint="eastAsia" w:ascii="宋体" w:hAnsi="宋体" w:eastAsia="宋体" w:cs="宋体"/>
          <w:w w:val="105"/>
        </w:rPr>
        <w:t>SBB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染色，结果呈阴性反应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</w:t>
      </w:r>
      <w:r>
        <w:rPr>
          <w:rFonts w:hint="eastAsia" w:ascii="宋体" w:hAnsi="宋体" w:eastAsia="宋体" w:cs="宋体"/>
        </w:rPr>
        <w:t>、标本不宜采用含有乙醇的固定液。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苏丹染料容易褪色，应密闭保存。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3、应防止染料发生沉淀，可置于血平皿内，两端放置小竹签，血膜向下架空染色。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4、神经磷脂、脑磷脂 SBB 染色呈阳性，有利于对类脂质沉积病的诊断。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10"/>
          <w:sz w:val="24"/>
        </w:rPr>
        <w:t>储存条件</w:t>
      </w:r>
      <w:r>
        <w:rPr>
          <w:rFonts w:hint="eastAsia" w:ascii="宋体" w:hAnsi="宋体" w:eastAsia="宋体" w:cs="宋体"/>
          <w:w w:val="130"/>
          <w:sz w:val="24"/>
        </w:rPr>
        <w:t>：</w:t>
      </w:r>
      <w:r>
        <w:rPr>
          <w:rFonts w:hint="eastAsia" w:ascii="宋体" w:hAnsi="宋体" w:eastAsia="宋体" w:cs="宋体"/>
          <w:w w:val="130"/>
          <w:sz w:val="21"/>
        </w:rPr>
        <w:t xml:space="preserve">6 </w:t>
      </w:r>
      <w:r>
        <w:rPr>
          <w:rFonts w:hint="eastAsia" w:ascii="宋体" w:hAnsi="宋体" w:eastAsia="宋体" w:cs="宋体"/>
          <w:w w:val="110"/>
          <w:sz w:val="21"/>
        </w:rPr>
        <w:t>个月有效。</w:t>
      </w: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0171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3858895</wp:posOffset>
              </wp:positionH>
              <wp:positionV relativeFrom="paragraph">
                <wp:posOffset>-635</wp:posOffset>
              </wp:positionV>
              <wp:extent cx="1809750" cy="857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5695" y="469265"/>
                        <a:ext cx="1809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85pt;margin-top:-0.05pt;height:67.5pt;width:142.5pt;z-index:251658240;mso-width-relative:page;mso-height-relative:page;" fillcolor="#FFFFFF" filled="t" stroked="f" coordsize="21600,21600" o:gfxdata="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5wd7f1wAAAAkBAAAPAAAAAAAAAAEAIAAAACIAAABkcnMvZG93bnJl&#10;di54bWxQSwECFAAUAAAACACHTuJAL8PTvs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63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2019-06-11T02:26:00Z</dcterms:created>
  <dc:creator>94099</dc:creator>
  <cp:lastModifiedBy>Cute  princess</cp:lastModifiedBy>
  <dcterms:modified xsi:type="dcterms:W3CDTF">2019-06-11T02:47:19Z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