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BS</w:t>
      </w:r>
      <w:r>
        <w:rPr>
          <w:rFonts w:hint="eastAsia" w:ascii="宋体" w:hAnsi="宋体" w:eastAsia="宋体" w:cs="宋体"/>
          <w:b/>
          <w:spacing w:val="89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固定液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659"/>
            <w:col w:w="5635"/>
          </w:cols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 w:right="13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固定的目的在于保存细胞和组织的原有形态结构，固定剂能阻止内源性溶酶体酶对自 身组织和细胞的自溶、抑制细菌和霉菌的生长。固定剂通过</w:t>
      </w:r>
      <w:r>
        <w:rPr>
          <w:rFonts w:hint="eastAsia" w:ascii="宋体" w:hAnsi="宋体" w:eastAsia="宋体" w:cs="宋体"/>
          <w:spacing w:val="-2"/>
        </w:rPr>
        <w:t xml:space="preserve">凝固、生成添加化合物等使蛋白 </w:t>
      </w:r>
      <w:r>
        <w:rPr>
          <w:rFonts w:hint="eastAsia" w:ascii="宋体" w:hAnsi="宋体" w:eastAsia="宋体" w:cs="宋体"/>
        </w:rPr>
        <w:t>质内部结构发生改变，从而使酶失活。固定液分为醛类固定液、汞类固定液、醇类</w:t>
      </w:r>
      <w:r>
        <w:rPr>
          <w:rFonts w:hint="eastAsia" w:ascii="宋体" w:hAnsi="宋体" w:eastAsia="宋体" w:cs="宋体"/>
          <w:spacing w:val="-5"/>
        </w:rPr>
        <w:t xml:space="preserve">固定液、    </w:t>
      </w:r>
      <w:r>
        <w:rPr>
          <w:rFonts w:hint="eastAsia" w:ascii="宋体" w:hAnsi="宋体" w:eastAsia="宋体" w:cs="宋体"/>
        </w:rPr>
        <w:t>氧化剂类固定液、苦味酸盐类固定液等，较为常用的是醛类中的福尔马林、醇类</w:t>
      </w:r>
      <w:r>
        <w:rPr>
          <w:rFonts w:hint="eastAsia" w:ascii="宋体" w:hAnsi="宋体" w:eastAsia="宋体" w:cs="宋体"/>
          <w:spacing w:val="-4"/>
        </w:rPr>
        <w:t>中的乙醇。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45" w:leftChars="0" w:right="0" w:firstLine="378" w:firstLineChars="18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</w:rPr>
        <w:t>BS</w:t>
      </w:r>
      <w:r>
        <w:rPr>
          <w:rFonts w:hint="eastAsia" w:ascii="宋体" w:hAnsi="宋体" w:eastAsia="宋体" w:cs="宋体"/>
          <w:spacing w:val="16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固定液(</w:t>
      </w:r>
      <w:r>
        <w:rPr>
          <w:rFonts w:hint="eastAsia" w:ascii="宋体" w:hAnsi="宋体" w:eastAsia="宋体" w:cs="宋体"/>
          <w:sz w:val="19"/>
        </w:rPr>
        <w:t>BS</w:t>
      </w:r>
      <w:r>
        <w:rPr>
          <w:rFonts w:hint="eastAsia" w:ascii="宋体" w:hAnsi="宋体" w:eastAsia="宋体" w:cs="宋体"/>
          <w:spacing w:val="15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fixing</w:t>
      </w:r>
      <w:r>
        <w:rPr>
          <w:rFonts w:hint="eastAsia" w:ascii="宋体" w:hAnsi="宋体" w:eastAsia="宋体" w:cs="宋体"/>
          <w:spacing w:val="14"/>
          <w:sz w:val="19"/>
        </w:rPr>
        <w:t xml:space="preserve">  </w:t>
      </w:r>
      <w:r>
        <w:rPr>
          <w:rFonts w:hint="eastAsia" w:ascii="宋体" w:hAnsi="宋体" w:eastAsia="宋体" w:cs="宋体"/>
          <w:sz w:val="19"/>
        </w:rPr>
        <w:t>solution</w:t>
      </w:r>
      <w:r>
        <w:rPr>
          <w:rFonts w:hint="eastAsia" w:ascii="宋体" w:hAnsi="宋体" w:eastAsia="宋体" w:cs="宋体"/>
          <w:spacing w:val="18"/>
          <w:sz w:val="19"/>
        </w:rPr>
        <w:t xml:space="preserve"> 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pacing w:val="2"/>
          <w:sz w:val="19"/>
        </w:rPr>
        <w:t xml:space="preserve">主要由甲醇 </w:t>
      </w:r>
      <w:r>
        <w:rPr>
          <w:rFonts w:hint="eastAsia" w:ascii="宋体" w:hAnsi="宋体" w:eastAsia="宋体" w:cs="宋体"/>
          <w:sz w:val="21"/>
        </w:rPr>
        <w:t>、乙酸等混合而成，固定后对于细</w:t>
      </w:r>
      <w:r>
        <w:rPr>
          <w:rFonts w:hint="eastAsia" w:ascii="宋体" w:hAnsi="宋体" w:eastAsia="宋体" w:cs="宋体"/>
          <w:w w:val="105"/>
        </w:rPr>
        <w:t>胞核染色固定，尤其适用于细</w:t>
      </w:r>
      <w:r>
        <w:rPr>
          <w:rFonts w:hint="eastAsia" w:ascii="宋体" w:hAnsi="宋体" w:eastAsia="宋体" w:cs="宋体"/>
          <w:spacing w:val="-3"/>
          <w:w w:val="105"/>
        </w:rPr>
        <w:t xml:space="preserve">胞核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染色的固定。</w:t>
      </w:r>
    </w:p>
    <w:p>
      <w:pPr>
        <w:pStyle w:val="4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499"/>
          <w:tab w:val="left" w:pos="4476"/>
        </w:tabs>
        <w:spacing w:before="0"/>
        <w:ind w:left="182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19"/>
        </w:rPr>
        <w:t>BS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fixing</w:t>
      </w:r>
      <w:r>
        <w:rPr>
          <w:rFonts w:hint="eastAsia" w:ascii="宋体" w:hAnsi="宋体" w:eastAsia="宋体" w:cs="宋体"/>
          <w:spacing w:val="5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solution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left="405" w:right="53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2、血涂片或细胞涂片置于提前预热</w:t>
      </w:r>
      <w:r>
        <w:rPr>
          <w:rFonts w:hint="eastAsia" w:ascii="宋体" w:hAnsi="宋体" w:eastAsia="宋体" w:cs="宋体"/>
          <w:spacing w:val="-19"/>
          <w:w w:val="105"/>
          <w:sz w:val="21"/>
        </w:rPr>
        <w:t xml:space="preserve">至 </w:t>
      </w:r>
      <w:r>
        <w:rPr>
          <w:rFonts w:hint="eastAsia" w:ascii="宋体" w:hAnsi="宋体" w:eastAsia="宋体" w:cs="宋体"/>
          <w:w w:val="105"/>
          <w:sz w:val="21"/>
        </w:rPr>
        <w:t>30～40℃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的 </w:t>
      </w:r>
      <w:r>
        <w:rPr>
          <w:rFonts w:hint="eastAsia" w:ascii="宋体" w:hAnsi="宋体" w:eastAsia="宋体" w:cs="宋体"/>
          <w:w w:val="105"/>
          <w:sz w:val="19"/>
        </w:rPr>
        <w:t>BS fixing solution</w:t>
      </w:r>
      <w:r>
        <w:rPr>
          <w:rFonts w:hint="eastAsia" w:ascii="宋体" w:hAnsi="宋体" w:eastAsia="宋体" w:cs="宋体"/>
          <w:spacing w:val="-2"/>
          <w:w w:val="105"/>
          <w:sz w:val="21"/>
        </w:rPr>
        <w:t xml:space="preserve">，固定 </w:t>
      </w:r>
      <w:r>
        <w:rPr>
          <w:rFonts w:hint="eastAsia" w:ascii="宋体" w:hAnsi="宋体" w:eastAsia="宋体" w:cs="宋体"/>
          <w:w w:val="105"/>
          <w:sz w:val="21"/>
        </w:rPr>
        <w:t>20～30min</w:t>
      </w:r>
      <w:r>
        <w:rPr>
          <w:rFonts w:hint="eastAsia" w:ascii="宋体" w:hAnsi="宋体" w:eastAsia="宋体" w:cs="宋体"/>
          <w:w w:val="120"/>
          <w:sz w:val="21"/>
        </w:rPr>
        <w:t>。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</w:rPr>
        <w:t>进行下游染色实验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 组织取材的厚度不同，固定时间也不同，对组织恰当的选材有利于固定液的渗透。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spacing w:val="-28"/>
          <w:w w:val="125"/>
        </w:rPr>
        <w:t xml:space="preserve"> </w:t>
      </w:r>
      <w:r>
        <w:rPr>
          <w:rFonts w:hint="eastAsia" w:ascii="宋体" w:hAnsi="宋体" w:eastAsia="宋体" w:cs="宋体"/>
          <w:w w:val="105"/>
        </w:rPr>
        <w:t>固定液的容量应足够，一般固定液与组织块的体积比率应大于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10:1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5"/>
        </w:rPr>
        <w:t xml:space="preserve">、 </w:t>
      </w:r>
      <w:r>
        <w:rPr>
          <w:rFonts w:hint="eastAsia" w:ascii="宋体" w:hAnsi="宋体" w:eastAsia="宋体" w:cs="宋体"/>
          <w:w w:val="110"/>
        </w:rPr>
        <w:t>取出新鲜组织后，应及时固定，无法及时固定时</w:t>
      </w:r>
      <w:r>
        <w:rPr>
          <w:rFonts w:hint="eastAsia" w:ascii="宋体" w:hAnsi="宋体" w:eastAsia="宋体" w:cs="宋体"/>
          <w:w w:val="115"/>
        </w:rPr>
        <w:t>，</w:t>
      </w:r>
      <w:r>
        <w:rPr>
          <w:rFonts w:hint="eastAsia" w:ascii="宋体" w:hAnsi="宋体" w:eastAsia="宋体" w:cs="宋体"/>
          <w:w w:val="110"/>
        </w:rPr>
        <w:t>应保存于生理盐水中及时送检</w:t>
      </w:r>
      <w:r>
        <w:rPr>
          <w:rFonts w:hint="eastAsia" w:ascii="宋体" w:hAnsi="宋体" w:eastAsia="宋体" w:cs="宋体"/>
          <w:w w:val="11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2"/>
        <w:spacing w:before="1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相关产品：</w:t>
      </w:r>
    </w:p>
    <w:p>
      <w:pPr>
        <w:pStyle w:val="4"/>
        <w:spacing w:before="13"/>
        <w:rPr>
          <w:rFonts w:ascii="Malgun Gothic"/>
          <w:b/>
          <w:sz w:val="32"/>
        </w:rPr>
      </w:pPr>
      <w:r>
        <w:br w:type="column"/>
      </w:r>
    </w:p>
    <w:p>
      <w:pPr>
        <w:pStyle w:val="3"/>
        <w:spacing w:before="1"/>
      </w:pPr>
      <w:r>
        <w:rPr>
          <w:rFonts w:hint="eastAsia" w:ascii="Microsoft JhengHei" w:eastAsia="Microsoft JhengHei"/>
        </w:rPr>
        <w:t>产</w:t>
      </w:r>
      <w:r>
        <w:t>品</w:t>
      </w:r>
    </w:p>
    <w:p>
      <w:pPr>
        <w:spacing w:before="20" w:line="355" w:lineRule="auto"/>
        <w:ind w:left="510" w:right="-20" w:firstLine="15"/>
        <w:jc w:val="left"/>
        <w:rPr>
          <w:rFonts w:ascii="Calibri"/>
          <w:sz w:val="19"/>
        </w:rPr>
      </w:pPr>
      <w:r>
        <w:rPr>
          <w:rFonts w:ascii="Calibri"/>
          <w:sz w:val="19"/>
        </w:rPr>
        <w:t>CS0001 DC0032</w:t>
      </w:r>
    </w:p>
    <w:p>
      <w:pPr>
        <w:pStyle w:val="4"/>
        <w:rPr>
          <w:rFonts w:ascii="Calibri"/>
          <w:sz w:val="22"/>
        </w:rPr>
      </w:pPr>
      <w:r>
        <w:br w:type="column"/>
      </w:r>
    </w:p>
    <w:p>
      <w:pPr>
        <w:pStyle w:val="4"/>
        <w:spacing w:before="8"/>
        <w:rPr>
          <w:rFonts w:ascii="Calibri"/>
          <w:sz w:val="26"/>
        </w:rPr>
      </w:pPr>
    </w:p>
    <w:p>
      <w:pPr>
        <w:pStyle w:val="3"/>
        <w:ind w:left="1669"/>
      </w:pPr>
      <w:r>
        <w:rPr>
          <w:rFonts w:hint="eastAsia" w:ascii="Microsoft JhengHei" w:eastAsia="Microsoft JhengHei"/>
        </w:rPr>
        <w:t>产</w:t>
      </w:r>
      <w:r>
        <w:t>品</w:t>
      </w:r>
    </w:p>
    <w:p>
      <w:pPr>
        <w:spacing w:before="11" w:line="321" w:lineRule="auto"/>
        <w:ind w:left="347" w:right="2560" w:firstLine="0"/>
        <w:jc w:val="left"/>
        <w:rPr>
          <w:sz w:val="19"/>
        </w:rPr>
      </w:pPr>
      <w:r>
        <w:rPr>
          <w:rFonts w:ascii="Calibri" w:eastAsia="Calibri"/>
          <w:sz w:val="19"/>
        </w:rPr>
        <w:t>ACK</w:t>
      </w:r>
      <w:r>
        <w:rPr>
          <w:rFonts w:hint="eastAsia" w:ascii="宋体" w:eastAsia="宋体"/>
          <w:sz w:val="19"/>
        </w:rPr>
        <w:t>红细</w:t>
      </w:r>
      <w:r>
        <w:rPr>
          <w:sz w:val="19"/>
        </w:rPr>
        <w:t xml:space="preserve">胞裂解液 </w:t>
      </w:r>
      <w:r>
        <w:rPr>
          <w:rFonts w:ascii="Calibri" w:eastAsia="Calibri"/>
          <w:sz w:val="19"/>
        </w:rPr>
        <w:t>(ACK Lysis Buffer) Masson</w:t>
      </w:r>
      <w:r>
        <w:rPr>
          <w:sz w:val="19"/>
        </w:rPr>
        <w:t>三色染色液</w:t>
      </w:r>
    </w:p>
    <w:p>
      <w:pPr>
        <w:spacing w:after="0" w:line="321" w:lineRule="auto"/>
        <w:jc w:val="left"/>
        <w:rPr>
          <w:sz w:val="19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3">
            <w:col w:w="1646" w:space="232"/>
            <w:col w:w="1114" w:space="39"/>
            <w:col w:w="5909"/>
          </w:cols>
        </w:sectPr>
      </w:pPr>
    </w:p>
    <w:p>
      <w:pPr>
        <w:tabs>
          <w:tab w:val="left" w:pos="3378"/>
        </w:tabs>
        <w:spacing w:before="0" w:line="207" w:lineRule="exact"/>
        <w:ind w:left="2387" w:right="0" w:firstLine="0"/>
        <w:jc w:val="left"/>
        <w:rPr>
          <w:rFonts w:ascii="Calibri" w:eastAsia="Calibri"/>
          <w:sz w:val="19"/>
        </w:rPr>
      </w:pPr>
      <w:r>
        <w:rPr>
          <w:rFonts w:ascii="Calibri" w:eastAsia="Calibri"/>
          <w:position w:val="2"/>
          <w:sz w:val="19"/>
        </w:rPr>
        <w:t>NR0003</w:t>
      </w:r>
      <w:r>
        <w:rPr>
          <w:rFonts w:ascii="Calibri" w:eastAsia="Calibri"/>
          <w:position w:val="2"/>
          <w:sz w:val="19"/>
        </w:rPr>
        <w:tab/>
      </w:r>
      <w:r>
        <w:rPr>
          <w:rFonts w:ascii="Calibri" w:eastAsia="Calibri"/>
          <w:sz w:val="19"/>
        </w:rPr>
        <w:t>Lezol(</w:t>
      </w:r>
      <w:r>
        <w:rPr>
          <w:rFonts w:hint="eastAsia" w:ascii="宋体" w:eastAsia="宋体"/>
          <w:spacing w:val="-22"/>
          <w:sz w:val="19"/>
        </w:rPr>
        <w:t xml:space="preserve">总 </w:t>
      </w:r>
      <w:r>
        <w:rPr>
          <w:rFonts w:ascii="Calibri" w:eastAsia="Calibri"/>
          <w:sz w:val="19"/>
        </w:rPr>
        <w:t>RNA</w:t>
      </w:r>
      <w:r>
        <w:rPr>
          <w:sz w:val="19"/>
        </w:rPr>
        <w:t>提取</w:t>
      </w:r>
      <w:r>
        <w:rPr>
          <w:rFonts w:hint="eastAsia" w:ascii="宋体" w:eastAsia="宋体"/>
          <w:spacing w:val="20"/>
          <w:sz w:val="19"/>
        </w:rPr>
        <w:t xml:space="preserve">试剂 </w:t>
      </w:r>
      <w:r>
        <w:rPr>
          <w:rFonts w:ascii="Calibri" w:eastAsia="Calibri"/>
          <w:sz w:val="19"/>
        </w:rPr>
        <w:t>)</w:t>
      </w: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spacing w:before="1"/>
        <w:rPr>
          <w:rFonts w:ascii="Calibri"/>
          <w:sz w:val="17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7816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3815715</wp:posOffset>
              </wp:positionH>
              <wp:positionV relativeFrom="paragraph">
                <wp:posOffset>-635</wp:posOffset>
              </wp:positionV>
              <wp:extent cx="1809750" cy="8661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2515" y="469265"/>
                        <a:ext cx="180975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45pt;margin-top:-0.05pt;height:68.2pt;width:142.5pt;z-index:251658240;mso-width-relative:page;mso-height-relative:page;" fillcolor="#FFFFFF" filled="t" stroked="f" coordsize="21600,21600" o:gfxdata="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SHQBNcAAAAJAQAADwAAAAAAAAABACAAAAAiAAAAZHJzL2Rv&#10;d25yZXYueG1sUEsBAhQAFAAAAAgAh07iQKNGGMD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44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2019-04-02T09:10:00Z</dcterms:created>
  <dc:creator>94099</dc:creator>
  <cp:lastModifiedBy>Cute  princess</cp:lastModifiedBy>
  <dcterms:modified xsi:type="dcterms:W3CDTF">2019-04-02T09:32:08Z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