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rPr>
          <w:rFonts w:hint="eastAsia" w:ascii="宋体" w:hAnsi="宋体" w:eastAsia="宋体" w:cs="宋体"/>
          <w:b/>
          <w:sz w:val="17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3"/>
        <w:ind w:left="405" w:right="0" w:firstLine="0"/>
        <w:jc w:val="left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w w:val="105"/>
          <w:sz w:val="32"/>
        </w:rPr>
        <w:t xml:space="preserve">改良 </w:t>
      </w:r>
      <w:r>
        <w:rPr>
          <w:rFonts w:hint="eastAsia" w:ascii="宋体" w:hAnsi="宋体" w:eastAsia="宋体" w:cs="宋体"/>
          <w:b/>
          <w:w w:val="105"/>
          <w:sz w:val="32"/>
        </w:rPr>
        <w:t xml:space="preserve">Barth </w:t>
      </w:r>
      <w:r>
        <w:rPr>
          <w:rFonts w:hint="eastAsia" w:ascii="宋体" w:hAnsi="宋体" w:eastAsia="宋体" w:cs="宋体"/>
          <w:b/>
          <w:w w:val="105"/>
          <w:sz w:val="32"/>
        </w:rPr>
        <w:t>溶液</w:t>
      </w:r>
      <w:r>
        <w:rPr>
          <w:rFonts w:hint="eastAsia" w:ascii="宋体" w:hAnsi="宋体" w:eastAsia="宋体" w:cs="宋体"/>
          <w:b/>
          <w:w w:val="105"/>
          <w:sz w:val="32"/>
        </w:rPr>
        <w:t>(</w:t>
      </w:r>
      <w:r>
        <w:rPr>
          <w:rFonts w:hint="eastAsia" w:ascii="宋体" w:hAnsi="宋体" w:eastAsia="宋体" w:cs="宋体"/>
          <w:b/>
          <w:w w:val="105"/>
          <w:sz w:val="32"/>
        </w:rPr>
        <w:t>含</w:t>
      </w:r>
      <w:r>
        <w:rPr>
          <w:rFonts w:hint="eastAsia" w:ascii="宋体" w:hAnsi="宋体" w:eastAsia="宋体" w:cs="宋体"/>
          <w:b/>
          <w:w w:val="105"/>
          <w:sz w:val="32"/>
        </w:rPr>
        <w:t>钙</w:t>
      </w:r>
      <w:r>
        <w:rPr>
          <w:rFonts w:hint="eastAsia" w:ascii="宋体" w:hAnsi="宋体" w:eastAsia="宋体" w:cs="宋体"/>
          <w:b/>
          <w:w w:val="105"/>
          <w:sz w:val="32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757"/>
            <w:col w:w="671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400" w:lineRule="exact"/>
        <w:ind w:left="8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非洲爪蟾分裂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期卵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胞提取物是体外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胞活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重建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胞器成分的主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400" w:lineRule="exact"/>
        <w:ind w:left="418" w:leftChars="19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要来源，可进行去膜精子染色质的核组装、核蛋白的输入以及 DNA 的复制。改良Barth 溶液(含钙)主要由氯化钠、氯化钾、碳酸氢钠、HEPES、硫酸镁等组成，含少量 Ca ， 主要用于保存不马上使用的卵母细胞。</w:t>
      </w:r>
    </w:p>
    <w:p>
      <w:pPr>
        <w:pStyle w:val="3"/>
        <w:spacing w:before="9"/>
        <w:rPr>
          <w:rFonts w:hint="eastAsia" w:ascii="宋体" w:hAnsi="宋体" w:eastAsia="宋体" w:cs="宋体"/>
          <w:sz w:val="31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3588"/>
          <w:tab w:val="left" w:pos="4730"/>
        </w:tabs>
        <w:spacing w:before="0"/>
        <w:ind w:left="0" w:right="209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改良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Barth</w:t>
      </w:r>
      <w:r>
        <w:rPr>
          <w:rFonts w:hint="eastAsia" w:ascii="宋体" w:hAnsi="宋体" w:eastAsia="宋体" w:cs="宋体"/>
          <w:spacing w:val="-1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溶液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含</w:t>
      </w:r>
      <w:r>
        <w:rPr>
          <w:rFonts w:hint="eastAsia" w:ascii="宋体" w:hAnsi="宋体" w:eastAsia="宋体" w:cs="宋体"/>
          <w:sz w:val="21"/>
        </w:rPr>
        <w:t>钙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4℃</w:t>
      </w:r>
    </w:p>
    <w:p>
      <w:pPr>
        <w:pStyle w:val="3"/>
        <w:spacing w:before="11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、不立即使用的卵母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spacing w:val="-2"/>
          <w:w w:val="105"/>
        </w:rPr>
        <w:t xml:space="preserve">胞置于改良 </w:t>
      </w:r>
      <w:r>
        <w:rPr>
          <w:rFonts w:hint="eastAsia" w:ascii="宋体" w:hAnsi="宋体" w:eastAsia="宋体" w:cs="宋体"/>
          <w:w w:val="105"/>
        </w:rPr>
        <w:t xml:space="preserve">Barth </w:t>
      </w:r>
      <w:r>
        <w:rPr>
          <w:rFonts w:hint="eastAsia" w:ascii="宋体" w:hAnsi="宋体" w:eastAsia="宋体" w:cs="宋体"/>
          <w:w w:val="105"/>
        </w:rPr>
        <w:t>溶液</w:t>
      </w:r>
      <w:r>
        <w:rPr>
          <w:rFonts w:hint="eastAsia" w:ascii="宋体" w:hAnsi="宋体" w:eastAsia="宋体" w:cs="宋体"/>
          <w:w w:val="105"/>
        </w:rPr>
        <w:t>(</w:t>
      </w:r>
      <w:r>
        <w:rPr>
          <w:rFonts w:hint="eastAsia" w:ascii="宋体" w:hAnsi="宋体" w:eastAsia="宋体" w:cs="宋体"/>
          <w:w w:val="105"/>
        </w:rPr>
        <w:t>含</w:t>
      </w:r>
      <w:r>
        <w:rPr>
          <w:rFonts w:hint="eastAsia" w:ascii="宋体" w:hAnsi="宋体" w:eastAsia="宋体" w:cs="宋体"/>
          <w:w w:val="105"/>
        </w:rPr>
        <w:t>钙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w w:val="105"/>
        </w:rPr>
        <w:t>中，</w:t>
      </w:r>
      <w:r>
        <w:rPr>
          <w:rFonts w:hint="eastAsia" w:ascii="宋体" w:hAnsi="宋体" w:eastAsia="宋体" w:cs="宋体"/>
          <w:w w:val="105"/>
        </w:rPr>
        <w:t>18℃</w:t>
      </w:r>
      <w:r>
        <w:rPr>
          <w:rFonts w:hint="eastAsia" w:ascii="宋体" w:hAnsi="宋体" w:eastAsia="宋体" w:cs="宋体"/>
          <w:spacing w:val="-3"/>
          <w:w w:val="105"/>
        </w:rPr>
        <w:t xml:space="preserve">保存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spacing w:val="5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2"/>
        <w:rPr>
          <w:rFonts w:hint="eastAsia" w:ascii="宋体" w:hAnsi="宋体" w:eastAsia="宋体" w:cs="宋体"/>
          <w:sz w:val="20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58649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3988435</wp:posOffset>
              </wp:positionH>
              <wp:positionV relativeFrom="paragraph">
                <wp:posOffset>-635</wp:posOffset>
              </wp:positionV>
              <wp:extent cx="1809750" cy="87503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55235" y="469265"/>
                        <a:ext cx="18097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4.05pt;margin-top:-0.05pt;height:68.9pt;width:142.5pt;z-index:251658240;mso-width-relative:page;mso-height-relative:page;" fillcolor="#FFFFFF" filled="t" stroked="f" coordsize="21600,21600" o:gfxdata="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Jmld9cAAAAJAQAADwAAAAAAAAABACAAAAAiAAAAZHJzL2Rv&#10;d25yZXYueG1sUEsBAhQAFAAAAAgAh07iQL4HrjzJAQAAV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87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ga" w:eastAsia="ga" w:bidi="ga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ga" w:eastAsia="ga" w:bidi="g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ga" w:eastAsia="ga" w:bidi="g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ga" w:eastAsia="ga" w:bidi="ga"/>
    </w:rPr>
  </w:style>
  <w:style w:type="paragraph" w:customStyle="1" w:styleId="11">
    <w:name w:val="Table Paragraph"/>
    <w:basedOn w:val="1"/>
    <w:qFormat/>
    <w:uiPriority w:val="1"/>
    <w:rPr>
      <w:lang w:val="ga" w:eastAsia="ga" w:bidi="g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2019-04-22T03:25:00Z</dcterms:created>
  <dc:creator>94099</dc:creator>
  <cp:lastModifiedBy>Cute  princess</cp:lastModifiedBy>
  <dcterms:modified xsi:type="dcterms:W3CDTF">2019-04-22T03:30:15Z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2019-04-22T00:00:00Z</vt:filetime>
  </property>
  <property fmtid="{D5CDD505-2E9C-101B-9397-08002B2CF9AE}" pid="5" name="KSOProductBuildVer">
    <vt:lpwstr>2052-11.1.0.8612</vt:lpwstr>
  </property>
</Properties>
</file>