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改良台氏液粉</w:t>
      </w:r>
      <w:r>
        <w:rPr>
          <w:rFonts w:hint="eastAsia" w:ascii="宋体" w:hAnsi="宋体" w:eastAsia="宋体" w:cs="宋体"/>
          <w:b/>
          <w:sz w:val="30"/>
        </w:rPr>
        <w:t>剂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1358"/>
            <w:col w:w="61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4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8" w:line="350" w:lineRule="exact"/>
        <w:ind w:left="403" w:right="100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改良台氏液粉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也属于平衡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  <w:spacing w:val="-16"/>
          <w:w w:val="120"/>
        </w:rPr>
        <w:t>、</w:t>
      </w:r>
      <w:r>
        <w:rPr>
          <w:rFonts w:hint="eastAsia" w:ascii="宋体" w:hAnsi="宋体" w:eastAsia="宋体" w:cs="宋体"/>
        </w:rPr>
        <w:t>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14"/>
        </w:rPr>
        <w:t xml:space="preserve">成，含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  <w:spacing w:val="8"/>
        </w:rPr>
        <w:t xml:space="preserve">规 </w:t>
      </w:r>
      <w:r>
        <w:rPr>
          <w:rFonts w:hint="eastAsia" w:ascii="宋体" w:hAnsi="宋体" w:eastAsia="宋体" w:cs="宋体"/>
        </w:rPr>
        <w:t>Tyrode's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Solution(CZ0061)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。直接溶解于水即可使用，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常用于哺乳肌体灌流、清洗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持离体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肌的正常生理功能。</w:t>
      </w:r>
    </w:p>
    <w:p>
      <w:pPr>
        <w:pStyle w:val="3"/>
        <w:spacing w:before="12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678"/>
          <w:tab w:val="left" w:pos="4639"/>
        </w:tabs>
        <w:spacing w:before="0"/>
        <w:ind w:left="0" w:right="274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改良台氏液粉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、一般取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包装的粉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，充分溶解于去离子水即可，用于保存或清洗离体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1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、由于改良台氏液含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离子，容易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  <w:spacing w:val="-17"/>
        </w:rPr>
        <w:t xml:space="preserve">后  </w:t>
      </w:r>
      <w:r>
        <w:rPr>
          <w:rFonts w:hint="eastAsia" w:ascii="宋体" w:hAnsi="宋体" w:eastAsia="宋体" w:cs="宋体"/>
          <w:w w:val="105"/>
        </w:rPr>
        <w:t>使用，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生大量沉淀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4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29388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-635</wp:posOffset>
              </wp:positionV>
              <wp:extent cx="2035175" cy="866140"/>
              <wp:effectExtent l="0" t="0" r="31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69265"/>
                        <a:ext cx="203517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65pt;margin-top:-0.05pt;height:68.2pt;width:160.25pt;z-index:251658240;mso-width-relative:page;mso-height-relative:page;" fillcolor="#FFFFFF" filled="t" stroked="f" coordsize="21600,21600" o:gfxdata="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mDgqdcAAAAJAQAADwAAAAAAAAABACAAAAAiAAAAZHJzL2Rv&#10;d25yZXYueG1sUEsBAhQAFAAAAAgAh07iQExRKdb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2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2019-04-15T09:22:00Z</dcterms:created>
  <dc:creator>94099</dc:creator>
  <cp:lastModifiedBy>Cute  princess</cp:lastModifiedBy>
  <dcterms:modified xsi:type="dcterms:W3CDTF">2019-04-15T09:25:30Z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