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397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脂褐素染色液(Long Ziehl-Neelsen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1606" w:space="40"/>
            <w:col w:w="763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471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脂褐素是具有颗粒状的褐黄色色素，由含有脂肪的残存物和溶酶体消化物组成，被</w:t>
      </w:r>
      <w:r>
        <w:rPr>
          <w:rFonts w:hint="eastAsia" w:ascii="宋体" w:hAnsi="宋体" w:eastAsia="宋体" w:cs="宋体"/>
          <w:spacing w:val="-10"/>
        </w:rPr>
        <w:t>认为</w:t>
      </w:r>
      <w:r>
        <w:rPr>
          <w:rFonts w:hint="eastAsia" w:ascii="宋体" w:hAnsi="宋体" w:eastAsia="宋体" w:cs="宋体"/>
        </w:rPr>
        <w:t>是由脂质和脂蛋白氧化产生的。脂褐素氧化过程是缓慢的、逐步发生的，因此色素会呈现</w:t>
      </w:r>
      <w:r>
        <w:rPr>
          <w:rFonts w:hint="eastAsia" w:ascii="宋体" w:hAnsi="宋体" w:eastAsia="宋体" w:cs="宋体"/>
          <w:spacing w:val="-18"/>
        </w:rPr>
        <w:t xml:space="preserve">出 </w:t>
      </w:r>
      <w:r>
        <w:rPr>
          <w:rFonts w:hint="eastAsia" w:ascii="宋体" w:hAnsi="宋体" w:eastAsia="宋体" w:cs="宋体"/>
          <w:w w:val="105"/>
        </w:rPr>
        <w:t>不同的染色反应、不同的颜色，形状和大小也变化不一。脂褐素可见于肝脏、肾脏</w:t>
      </w:r>
      <w:r>
        <w:rPr>
          <w:rFonts w:hint="eastAsia" w:ascii="宋体" w:hAnsi="宋体" w:eastAsia="宋体" w:cs="宋体"/>
          <w:spacing w:val="-5"/>
          <w:w w:val="105"/>
        </w:rPr>
        <w:t>、心肌、</w:t>
      </w:r>
      <w:r>
        <w:rPr>
          <w:rFonts w:hint="eastAsia" w:ascii="宋体" w:hAnsi="宋体" w:eastAsia="宋体" w:cs="宋体"/>
          <w:w w:val="110"/>
        </w:rPr>
        <w:t>肾上腺、神经细胞不神经节细胞等，多分布在细胞核周围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3" w:right="471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由于脂褐素是由脂质和脂蛋白缓慢氧化逐步形成的，色素所处的氧化程度不同，因此应用技术证实时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组织化学反应会有所不同，因此建议应用多种不同的技术来验证色素是脂褐</w:t>
      </w:r>
      <w:r>
        <w:rPr>
          <w:rFonts w:hint="eastAsia" w:ascii="宋体" w:hAnsi="宋体" w:eastAsia="宋体" w:cs="宋体"/>
          <w:w w:val="105"/>
        </w:rPr>
        <w:t>质。常用的方法有PAS法、Schmorl高铁-铁氰化物还原法、Long Ziehl-Neelsen 法、Gomori醛复红法、Masson-Fontana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银法等。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9"/>
        <w:rPr>
          <w:rFonts w:ascii="Malgun Gothic"/>
          <w:b/>
          <w:sz w:val="23"/>
        </w:rPr>
      </w:pPr>
    </w:p>
    <w:p>
      <w:pPr>
        <w:spacing w:after="0"/>
        <w:rPr>
          <w:rFonts w:ascii="Malgun Gothic"/>
          <w:sz w:val="23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15"/>
        <w:rPr>
          <w:rFonts w:ascii="Malgun Gothic"/>
          <w:b/>
          <w:sz w:val="24"/>
        </w:rPr>
      </w:pPr>
    </w:p>
    <w:p>
      <w:pPr>
        <w:pStyle w:val="3"/>
        <w:spacing w:before="1"/>
        <w:ind w:left="205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宋体" w:eastAsia="宋体"/>
        </w:rPr>
        <w:t>复红</w:t>
      </w:r>
      <w:r>
        <w:t>染色液</w:t>
      </w:r>
    </w:p>
    <w:p>
      <w:pPr>
        <w:pStyle w:val="3"/>
        <w:spacing w:before="33"/>
        <w:ind w:left="205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Long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spacing w:val="-3"/>
        </w:rPr>
        <w:t>酸性分化液</w:t>
      </w:r>
    </w:p>
    <w:p>
      <w:pPr>
        <w:spacing w:before="51" w:line="266" w:lineRule="auto"/>
        <w:ind w:left="608" w:right="0" w:hanging="135"/>
        <w:jc w:val="both"/>
        <w:rPr>
          <w:rFonts w:ascii="微软雅黑" w:hAnsi="微软雅黑"/>
          <w:sz w:val="21"/>
        </w:rPr>
      </w:pPr>
      <w:r>
        <w:br w:type="column"/>
      </w:r>
      <w:r>
        <w:rPr>
          <w:rFonts w:ascii="微软雅黑" w:hAnsi="微软雅黑"/>
          <w:sz w:val="19"/>
        </w:rPr>
        <w:t xml:space="preserve">4×50ml </w:t>
      </w:r>
      <w:r>
        <w:rPr>
          <w:rFonts w:ascii="微软雅黑" w:hAnsi="微软雅黑"/>
          <w:sz w:val="21"/>
        </w:rPr>
        <w:t>50ml 50ml</w:t>
      </w:r>
    </w:p>
    <w:p>
      <w:pPr>
        <w:pStyle w:val="3"/>
        <w:spacing w:before="8"/>
        <w:rPr>
          <w:rFonts w:ascii="微软雅黑"/>
          <w:sz w:val="24"/>
        </w:rPr>
      </w:pPr>
      <w:r>
        <w:br w:type="column"/>
      </w:r>
    </w:p>
    <w:p>
      <w:pPr>
        <w:pStyle w:val="3"/>
        <w:spacing w:before="1" w:line="242" w:lineRule="auto"/>
        <w:ind w:left="343" w:right="2407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RT,</w:t>
      </w:r>
      <w:r>
        <w:t>避光</w:t>
      </w:r>
      <w:r>
        <w:rPr>
          <w:rFonts w:hint="eastAsia" w:ascii="微软雅黑" w:eastAsia="微软雅黑"/>
        </w:rPr>
        <w:t>RT</w:t>
      </w:r>
    </w:p>
    <w:p>
      <w:pPr>
        <w:spacing w:after="0" w:line="242" w:lineRule="auto"/>
        <w:rPr>
          <w:rFonts w:hint="eastAsia" w:ascii="微软雅黑" w:eastAsia="微软雅黑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3">
            <w:col w:w="4542" w:space="40"/>
            <w:col w:w="1178" w:space="39"/>
            <w:col w:w="3481"/>
          </w:cols>
        </w:sectPr>
      </w:pPr>
    </w:p>
    <w:p>
      <w:pPr>
        <w:pStyle w:val="3"/>
        <w:spacing w:line="339" w:lineRule="exact"/>
        <w:ind w:left="205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(C): </w:t>
      </w:r>
      <w:r>
        <w:rPr>
          <w:rFonts w:hint="eastAsia" w:ascii="宋体" w:eastAsia="宋体"/>
        </w:rPr>
        <w:t>亚</w:t>
      </w:r>
      <w:r>
        <w:t>甲</w:t>
      </w:r>
      <w:r>
        <w:rPr>
          <w:rFonts w:hint="eastAsia" w:ascii="宋体" w:eastAsia="宋体"/>
        </w:rPr>
        <w:t>蓝</w:t>
      </w:r>
      <w:r>
        <w:t>染色液</w:t>
      </w:r>
    </w:p>
    <w:p>
      <w:pPr>
        <w:pStyle w:val="3"/>
        <w:spacing w:before="18"/>
        <w:ind w:left="205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</w:t>
      </w:r>
      <w:r>
        <w:t>乙酸溶液</w:t>
      </w:r>
    </w:p>
    <w:p>
      <w:pPr>
        <w:pStyle w:val="3"/>
        <w:tabs>
          <w:tab w:val="left" w:pos="1909"/>
        </w:tabs>
        <w:spacing w:line="359" w:lineRule="exact"/>
        <w:ind w:left="992"/>
      </w:pPr>
      <w:r>
        <w:br w:type="column"/>
      </w:r>
      <w:r>
        <w:rPr>
          <w:rFonts w:hint="eastAsia" w:ascii="微软雅黑" w:eastAsia="微软雅黑"/>
        </w:rPr>
        <w:t>50ml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RT,</w:t>
      </w:r>
      <w:r>
        <w:t>避光</w:t>
      </w:r>
    </w:p>
    <w:p>
      <w:pPr>
        <w:pStyle w:val="3"/>
        <w:tabs>
          <w:tab w:val="left" w:pos="1909"/>
        </w:tabs>
        <w:spacing w:line="411" w:lineRule="exact"/>
        <w:ind w:left="992"/>
        <w:rPr>
          <w:rFonts w:ascii="微软雅黑"/>
        </w:rPr>
      </w:pP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  <w:position w:val="3"/>
        </w:rPr>
        <w:t>RT</w:t>
      </w:r>
    </w:p>
    <w:p>
      <w:pPr>
        <w:spacing w:after="0" w:line="411" w:lineRule="exact"/>
        <w:rPr>
          <w:rFonts w:ascii="微软雅黑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4194" w:space="40"/>
            <w:col w:w="5046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6"/>
        <w:rPr>
          <w:rFonts w:ascii="微软雅黑"/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恒温箱或水浴锅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组织固定，常规脱水包埋。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6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组织切片裱贴于载玻片上。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26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载玻片入蒸馏水轻轻清洗。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入复红染色液加盖浸染，60℃</w:t>
      </w:r>
      <w:r>
        <w:rPr>
          <w:rFonts w:hint="eastAsia" w:ascii="宋体" w:hAnsi="宋体" w:eastAsia="宋体" w:cs="宋体"/>
          <w:spacing w:val="-3"/>
          <w:w w:val="105"/>
        </w:rPr>
        <w:t xml:space="preserve">水浴 </w:t>
      </w:r>
      <w:r>
        <w:rPr>
          <w:rFonts w:hint="eastAsia" w:ascii="宋体" w:hAnsi="宋体" w:eastAsia="宋体" w:cs="宋体"/>
          <w:w w:val="105"/>
        </w:rPr>
        <w:t>3h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或室温过夜。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自来水洗净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</w:rPr>
        <w:t>入 Long 酸性分化液中分化，直至背景染色被去除。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流动自来水洗净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入亚甲蓝染色液复染胞核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入乙酸溶液轻轻清洗。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常规脱水，常规透明，合成树脂封片。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9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12"/>
        <w:rPr>
          <w:rFonts w:ascii="Malgun Gothic"/>
          <w:b/>
          <w:sz w:val="26"/>
        </w:rPr>
      </w:pPr>
      <w:r>
        <w:br w:type="column"/>
      </w:r>
    </w:p>
    <w:p>
      <w:pPr>
        <w:pStyle w:val="3"/>
        <w:spacing w:line="372" w:lineRule="auto"/>
        <w:ind w:left="246" w:right="-233" w:rightChars="0"/>
      </w:pPr>
      <w:r>
        <w:rPr>
          <w:rFonts w:hint="eastAsia" w:ascii="宋体" w:hAnsi="宋体" w:eastAsia="宋体" w:cs="宋体"/>
          <w:w w:val="105"/>
        </w:rPr>
        <w:t>脂褐素、蜡样物质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1"/>
        <w:rPr>
          <w:sz w:val="19"/>
        </w:rPr>
      </w:pPr>
    </w:p>
    <w:p>
      <w:pPr>
        <w:pStyle w:val="3"/>
        <w:ind w:left="405"/>
      </w:pPr>
      <w:r>
        <w:t>棕黑色</w:t>
      </w:r>
    </w:p>
    <w:p>
      <w:pPr>
        <w:pStyle w:val="3"/>
        <w:spacing w:before="123"/>
        <w:ind w:left="405"/>
      </w:pP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940" w:bottom="280" w:left="1680" w:header="720" w:footer="720" w:gutter="0"/>
          <w:cols w:equalWidth="0" w:num="3">
            <w:col w:w="1606" w:space="40"/>
            <w:col w:w="1967" w:space="548"/>
            <w:col w:w="5119"/>
          </w:cols>
        </w:sectPr>
      </w:pPr>
    </w:p>
    <w:p>
      <w:pPr>
        <w:pStyle w:val="3"/>
        <w:tabs>
          <w:tab w:val="left" w:pos="4565"/>
        </w:tabs>
        <w:spacing w:before="9"/>
        <w:ind w:left="1892"/>
      </w:pPr>
      <w:r>
        <w:t>背景</w:t>
      </w:r>
      <w:r>
        <w:tab/>
      </w:r>
      <w:r>
        <w:t>淡</w:t>
      </w:r>
      <w:r>
        <w:rPr>
          <w:rFonts w:hint="eastAsia" w:ascii="宋体" w:eastAsia="宋体"/>
        </w:rPr>
        <w:t>红</w:t>
      </w:r>
      <w:r>
        <w:t>紫或淡</w:t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1、恒温控制的水浴条件下进行染色，可以得到更可靠的结果。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9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9959" o:spid="_x0000_s2050" o:spt="136" type="#_x0000_t136" style="position:absolute;left:0pt;height:73.25pt;width:582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4097655</wp:posOffset>
              </wp:positionH>
              <wp:positionV relativeFrom="paragraph">
                <wp:posOffset>-1905</wp:posOffset>
              </wp:positionV>
              <wp:extent cx="1781175" cy="8667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21605" y="467995"/>
                        <a:ext cx="17811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2.65pt;margin-top:-0.15pt;height:68.25pt;width:140.25pt;z-index:251658240;mso-width-relative:page;mso-height-relative:page;" fillcolor="#FFFFFF" filled="t" stroked="f" coordsize="21600,21600" o:gfxdata="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Bos/NcAAAAJAQAADwAAAAAAAAABACAAAAAiAAAAZHJzL2Rvd25y&#10;ZXYueG1sUEsBAhQAFAAAAAgAh07iQGDRT/n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83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nl-NL" w:eastAsia="nl-NL" w:bidi="nl-NL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nl-NL" w:eastAsia="nl-NL" w:bidi="nl-N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nl-NL" w:eastAsia="nl-NL" w:bidi="nl-NL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nl-NL" w:eastAsia="nl-NL" w:bidi="nl-NL"/>
    </w:rPr>
  </w:style>
  <w:style w:type="paragraph" w:customStyle="1" w:styleId="11">
    <w:name w:val="Table Paragraph"/>
    <w:basedOn w:val="1"/>
    <w:qFormat/>
    <w:uiPriority w:val="1"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2019-06-25T03:32:00Z</dcterms:created>
  <dc:creator>94099</dc:creator>
  <cp:lastModifiedBy>Cute  princess</cp:lastModifiedBy>
  <dcterms:modified xsi:type="dcterms:W3CDTF">2019-06-25T03:37:04Z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