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3930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9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4ogFrYAAAADAEA&#10;AA8AAAAAAAAAAQAgAAAAIgAAAGRycy9kb3ducmV2LnhtbFBLAQIUABQAAAAIAIdO4kAiJaM7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after="0"/>
        <w:rPr>
          <w:sz w:val="22"/>
        </w:rPr>
        <w:sectPr>
          <w:headerReference r:id="rId3" w:type="default"/>
          <w:type w:val="continuous"/>
          <w:pgSz w:w="11900" w:h="16820"/>
          <w:pgMar w:top="660" w:right="134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3"/>
        <w:spacing w:before="5"/>
        <w:rPr>
          <w:b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110"/>
        </w:rPr>
        <w:t>产品简</w:t>
      </w:r>
      <w:r>
        <w:rPr>
          <w:rFonts w:hint="eastAsia" w:ascii="宋体" w:hAnsi="宋体" w:eastAsia="宋体" w:cs="宋体"/>
          <w:b/>
          <w:bCs/>
          <w:w w:val="110"/>
          <w:lang w:val="en-US" w:eastAsia="zh-CN"/>
        </w:rPr>
        <w:t>介：</w:t>
      </w:r>
    </w:p>
    <w:p>
      <w:pPr>
        <w:spacing w:before="121"/>
        <w:ind w:left="403" w:right="0" w:firstLine="0"/>
        <w:jc w:val="left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bCs/>
          <w:sz w:val="30"/>
        </w:rPr>
        <w:t>肥大细胞染色液(甲苯胺蓝法)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20"/>
          <w:pgMar w:top="660" w:right="1340" w:bottom="280" w:left="1680" w:header="720" w:footer="720" w:gutter="0"/>
          <w:cols w:equalWidth="0" w:num="2">
            <w:col w:w="1644" w:space="667"/>
            <w:col w:w="6569"/>
          </w:cols>
        </w:sectPr>
      </w:pPr>
    </w:p>
    <w:p>
      <w:pPr>
        <w:pStyle w:val="3"/>
        <w:spacing w:before="123" w:line="340" w:lineRule="auto"/>
        <w:ind w:left="403" w:right="238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肥大细胞(Mast cell)是疏松结缔组织内常见的细胞，常成群的沿着小血管和淋巴管分布，也常见于支气管和胰腺的小叶间导管周围，一般细胞较大，直径约为 20-30μm，呈圆形或椭圆形，胞核较小、胞质内充满粗大且具有异染性嗜酸性颗粒。</w:t>
      </w:r>
    </w:p>
    <w:p>
      <w:pPr>
        <w:pStyle w:val="3"/>
        <w:spacing w:before="54" w:line="345" w:lineRule="auto"/>
        <w:ind w:left="403" w:right="11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甲苯胺蓝(Toluidine Blue O)中的阳离子有染色作用, 组织细胞的酸性物质与其中的阳离子相结合而被染色。甲苯胺蓝还含有两个助色团，能促使染料产生电离成盐类,  帮助发色团对组织产生染色力,  使切片上的组织细胞着色，可染细胞核使之呈蓝色。肥大细胞颗粒呈紫红色，其他呈蓝色。</w:t>
      </w:r>
    </w:p>
    <w:p>
      <w:pPr>
        <w:pStyle w:val="3"/>
        <w:spacing w:before="9"/>
        <w:rPr>
          <w:rFonts w:hint="eastAsia" w:ascii="宋体" w:hAnsi="宋体" w:eastAsia="宋体" w:cs="宋体"/>
          <w:sz w:val="32"/>
        </w:rPr>
      </w:pPr>
    </w:p>
    <w:p>
      <w:pPr>
        <w:pStyle w:val="2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w w:val="115"/>
        </w:rPr>
        <w:t>产品组成：</w:t>
      </w:r>
    </w:p>
    <w:p>
      <w:pPr>
        <w:pStyle w:val="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20"/>
          <w:pgMar w:top="660" w:right="1340" w:bottom="280" w:left="1680" w:header="720" w:footer="720" w:gutter="0"/>
        </w:sectPr>
      </w:pPr>
    </w:p>
    <w:p>
      <w:pPr>
        <w:pStyle w:val="3"/>
        <w:rPr>
          <w:sz w:val="26"/>
        </w:rPr>
      </w:pPr>
    </w:p>
    <w:p>
      <w:pPr>
        <w:pStyle w:val="3"/>
        <w:spacing w:before="2"/>
        <w:rPr>
          <w:sz w:val="30"/>
        </w:rPr>
      </w:pPr>
    </w:p>
    <w:p>
      <w:pPr>
        <w:spacing w:before="0"/>
        <w:ind w:left="1572" w:right="0" w:firstLine="0"/>
        <w:jc w:val="left"/>
        <w:rPr>
          <w:rFonts w:ascii="Arial" w:eastAsia="Arial"/>
          <w:sz w:val="20"/>
        </w:rPr>
      </w:pPr>
      <w:r>
        <w:rPr>
          <w:rFonts w:hint="eastAsia" w:ascii="宋体" w:eastAsia="宋体"/>
          <w:sz w:val="20"/>
        </w:rPr>
        <w:t>试剂</w:t>
      </w:r>
      <w:r>
        <w:rPr>
          <w:rFonts w:ascii="Arial" w:eastAsia="Arial"/>
          <w:sz w:val="20"/>
        </w:rPr>
        <w:t>(A):</w:t>
      </w:r>
      <w:r>
        <w:rPr>
          <w:rFonts w:ascii="Arial" w:eastAsia="Arial"/>
          <w:spacing w:val="-4"/>
          <w:sz w:val="20"/>
        </w:rPr>
        <w:t xml:space="preserve"> </w:t>
      </w:r>
      <w:r>
        <w:rPr>
          <w:rFonts w:ascii="Arial" w:eastAsia="Arial"/>
          <w:sz w:val="20"/>
        </w:rPr>
        <w:t>Toluidine</w:t>
      </w:r>
      <w:r>
        <w:rPr>
          <w:rFonts w:ascii="Arial" w:eastAsia="Arial"/>
          <w:spacing w:val="-3"/>
          <w:sz w:val="20"/>
        </w:rPr>
        <w:t xml:space="preserve"> </w:t>
      </w:r>
      <w:r>
        <w:rPr>
          <w:rFonts w:ascii="Arial" w:eastAsia="Arial"/>
          <w:sz w:val="20"/>
        </w:rPr>
        <w:t>Blue</w:t>
      </w:r>
      <w:r>
        <w:rPr>
          <w:rFonts w:ascii="Arial" w:eastAsia="Arial"/>
          <w:spacing w:val="-4"/>
          <w:sz w:val="20"/>
        </w:rPr>
        <w:t xml:space="preserve"> </w:t>
      </w:r>
      <w:r>
        <w:rPr>
          <w:rFonts w:ascii="Arial" w:eastAsia="Arial"/>
          <w:sz w:val="20"/>
        </w:rPr>
        <w:t>O</w:t>
      </w:r>
      <w:r>
        <w:rPr>
          <w:rFonts w:ascii="Arial" w:eastAsia="Arial"/>
          <w:spacing w:val="-4"/>
          <w:sz w:val="20"/>
        </w:rPr>
        <w:t xml:space="preserve"> </w:t>
      </w:r>
      <w:r>
        <w:rPr>
          <w:rFonts w:ascii="Arial" w:eastAsia="Arial"/>
          <w:sz w:val="20"/>
        </w:rPr>
        <w:t>Stain</w:t>
      </w:r>
    </w:p>
    <w:p>
      <w:pPr>
        <w:spacing w:before="113"/>
        <w:ind w:left="1572" w:right="0" w:firstLine="0"/>
        <w:jc w:val="left"/>
        <w:rPr>
          <w:sz w:val="20"/>
        </w:rPr>
      </w:pPr>
      <w:r>
        <w:rPr>
          <w:rFonts w:hint="eastAsia" w:ascii="宋体" w:eastAsia="宋体"/>
          <w:sz w:val="20"/>
        </w:rPr>
        <w:t>试剂</w:t>
      </w:r>
      <w:r>
        <w:rPr>
          <w:rFonts w:ascii="Arial" w:eastAsia="Arial"/>
          <w:sz w:val="20"/>
        </w:rPr>
        <w:t xml:space="preserve">(B): TBO </w:t>
      </w:r>
      <w:r>
        <w:rPr>
          <w:sz w:val="20"/>
        </w:rPr>
        <w:t>分化液</w:t>
      </w:r>
    </w:p>
    <w:p>
      <w:pPr>
        <w:pStyle w:val="3"/>
        <w:spacing w:before="1"/>
        <w:rPr>
          <w:sz w:val="22"/>
        </w:rPr>
      </w:pPr>
      <w:r>
        <w:br w:type="column"/>
      </w:r>
    </w:p>
    <w:p>
      <w:pPr>
        <w:spacing w:before="0"/>
        <w:ind w:left="1126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pacing w:val="-1"/>
          <w:sz w:val="20"/>
        </w:rPr>
        <w:t>2×100ml</w:t>
      </w:r>
    </w:p>
    <w:p>
      <w:pPr>
        <w:spacing w:before="178" w:line="470" w:lineRule="auto"/>
        <w:ind w:left="1258" w:right="76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100ml 250ml</w:t>
      </w:r>
    </w:p>
    <w:p>
      <w:pPr>
        <w:pStyle w:val="3"/>
        <w:rPr>
          <w:rFonts w:ascii="Arial"/>
          <w:sz w:val="28"/>
        </w:rPr>
      </w:pPr>
      <w:r>
        <w:br w:type="column"/>
      </w:r>
    </w:p>
    <w:p>
      <w:pPr>
        <w:pStyle w:val="3"/>
        <w:spacing w:before="8"/>
        <w:rPr>
          <w:rFonts w:ascii="Arial"/>
          <w:sz w:val="33"/>
        </w:rPr>
      </w:pPr>
    </w:p>
    <w:p>
      <w:pPr>
        <w:pStyle w:val="3"/>
        <w:spacing w:before="1"/>
        <w:ind w:left="402"/>
      </w:pPr>
      <w:r>
        <w:rPr>
          <w:rFonts w:ascii="Arial" w:eastAsia="Arial"/>
        </w:rPr>
        <w:t xml:space="preserve">RT </w:t>
      </w:r>
      <w:r>
        <w:t>避 光</w:t>
      </w:r>
    </w:p>
    <w:p>
      <w:pPr>
        <w:pStyle w:val="3"/>
        <w:spacing w:before="115"/>
        <w:ind w:left="464"/>
        <w:rPr>
          <w:rFonts w:ascii="Arial"/>
        </w:rPr>
      </w:pPr>
      <w:r>
        <w:rPr>
          <w:rFonts w:ascii="Arial"/>
        </w:rPr>
        <w:t>RT</w:t>
      </w:r>
    </w:p>
    <w:p>
      <w:pPr>
        <w:spacing w:after="0"/>
        <w:rPr>
          <w:rFonts w:ascii="Arial"/>
        </w:rPr>
        <w:sectPr>
          <w:type w:val="continuous"/>
          <w:pgSz w:w="11900" w:h="16820"/>
          <w:pgMar w:top="660" w:right="1340" w:bottom="280" w:left="1680" w:header="720" w:footer="720" w:gutter="0"/>
          <w:cols w:equalWidth="0" w:num="3">
            <w:col w:w="4339" w:space="40"/>
            <w:col w:w="1899" w:space="39"/>
            <w:col w:w="2563"/>
          </w:cols>
        </w:sectPr>
      </w:pPr>
    </w:p>
    <w:p>
      <w:pPr>
        <w:pStyle w:val="3"/>
        <w:rPr>
          <w:rFonts w:ascii="Arial"/>
          <w:sz w:val="20"/>
        </w:rPr>
      </w:pPr>
    </w:p>
    <w:p>
      <w:pPr>
        <w:pStyle w:val="3"/>
        <w:rPr>
          <w:rFonts w:ascii="Arial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5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w w:val="115"/>
        </w:rPr>
        <w:t>自备材料：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3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1</w:t>
      </w:r>
      <w:r>
        <w:rPr>
          <w:rFonts w:hint="eastAsia" w:ascii="宋体" w:hAnsi="宋体" w:eastAsia="宋体" w:cs="宋体"/>
          <w:w w:val="130"/>
          <w:sz w:val="21"/>
          <w:szCs w:val="21"/>
        </w:rPr>
        <w:t>、</w:t>
      </w:r>
      <w:r>
        <w:rPr>
          <w:rFonts w:hint="eastAsia" w:ascii="宋体" w:hAnsi="宋体" w:eastAsia="宋体" w:cs="宋体"/>
          <w:w w:val="105"/>
          <w:sz w:val="21"/>
          <w:szCs w:val="21"/>
        </w:rPr>
        <w:t>10%中性福尔马林固定液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2、染缸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3、系列乙醇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3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w w:val="110"/>
          <w:sz w:val="24"/>
        </w:rPr>
        <w:t>操作步骤</w:t>
      </w:r>
      <w:r>
        <w:rPr>
          <w:rFonts w:hint="eastAsia" w:ascii="宋体" w:hAnsi="宋体" w:eastAsia="宋体" w:cs="宋体"/>
          <w:w w:val="110"/>
          <w:sz w:val="21"/>
        </w:rPr>
        <w:t>(仅供参考</w:t>
      </w:r>
      <w:r>
        <w:rPr>
          <w:rFonts w:hint="eastAsia" w:ascii="宋体" w:hAnsi="宋体" w:eastAsia="宋体" w:cs="宋体"/>
          <w:w w:val="130"/>
          <w:sz w:val="21"/>
        </w:rPr>
        <w:t>)</w:t>
      </w:r>
      <w:r>
        <w:rPr>
          <w:rFonts w:hint="eastAsia" w:ascii="宋体" w:hAnsi="宋体" w:eastAsia="宋体" w:cs="宋体"/>
          <w:w w:val="13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3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1、取新鲜组织立即固定于 10%中性福尔马林固定液中，常规脱水包埋</w:t>
      </w:r>
      <w:r>
        <w:rPr>
          <w:rFonts w:hint="eastAsia" w:ascii="宋体" w:hAnsi="宋体" w:eastAsia="宋体" w:cs="宋体"/>
          <w:w w:val="130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350" w:lineRule="exact"/>
        <w:ind w:left="40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2、切片厚度 4-5μm，常规脱蜡至水。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7" w:line="350" w:lineRule="exact"/>
        <w:ind w:left="40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3、系列乙醇各 1min，自来水洗 2min</w:t>
      </w:r>
      <w:r>
        <w:rPr>
          <w:rFonts w:hint="eastAsia" w:ascii="宋体" w:hAnsi="宋体" w:eastAsia="宋体" w:cs="宋体"/>
          <w:w w:val="12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line="350" w:lineRule="exact"/>
        <w:ind w:left="403" w:right="3380" w:rightChars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4、入 Toluidine Blue O Stain，浸染 15～30min。</w:t>
      </w:r>
      <w:r>
        <w:rPr>
          <w:rFonts w:hint="eastAsia" w:ascii="宋体" w:hAnsi="宋体" w:eastAsia="宋体" w:cs="宋体"/>
          <w:w w:val="110"/>
          <w:sz w:val="21"/>
          <w:szCs w:val="21"/>
        </w:rPr>
        <w:t>5、自来水稍洗。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6</w:t>
      </w:r>
      <w:r>
        <w:rPr>
          <w:rFonts w:hint="eastAsia" w:ascii="宋体" w:hAnsi="宋体" w:eastAsia="宋体" w:cs="宋体"/>
          <w:w w:val="130"/>
          <w:sz w:val="21"/>
          <w:szCs w:val="21"/>
        </w:rPr>
        <w:t>、</w:t>
      </w:r>
      <w:r>
        <w:rPr>
          <w:rFonts w:hint="eastAsia" w:ascii="宋体" w:hAnsi="宋体" w:eastAsia="宋体" w:cs="宋体"/>
          <w:w w:val="105"/>
          <w:sz w:val="21"/>
          <w:szCs w:val="21"/>
        </w:rPr>
        <w:t>TBO 分化液分化，直至细胞核和颗粒清晰，可在显微镜下控制。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350" w:lineRule="exact"/>
        <w:ind w:left="40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7、自来水稍洗，滤纸吸干或吹风机吹干水分。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line="350" w:lineRule="exact"/>
        <w:ind w:left="40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8</w:t>
      </w:r>
      <w:r>
        <w:rPr>
          <w:rFonts w:hint="eastAsia" w:ascii="宋体" w:hAnsi="宋体" w:eastAsia="宋体" w:cs="宋体"/>
          <w:w w:val="120"/>
          <w:sz w:val="21"/>
          <w:szCs w:val="21"/>
        </w:rPr>
        <w:t>、</w:t>
      </w:r>
      <w:r>
        <w:rPr>
          <w:rFonts w:hint="eastAsia" w:ascii="宋体" w:hAnsi="宋体" w:eastAsia="宋体" w:cs="宋体"/>
          <w:w w:val="110"/>
          <w:sz w:val="21"/>
          <w:szCs w:val="21"/>
        </w:rPr>
        <w:t>95%乙醇 1min，无水乙醇 2 次，每次 2min</w:t>
      </w:r>
      <w:r>
        <w:rPr>
          <w:rFonts w:hint="eastAsia" w:ascii="宋体" w:hAnsi="宋体" w:eastAsia="宋体" w:cs="宋体"/>
          <w:w w:val="120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line="350" w:lineRule="exact"/>
        <w:ind w:left="40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9、二甲苯透明，中性树胶封固。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both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20"/>
          <w:pgMar w:top="660" w:right="134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6" w:line="35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110"/>
        </w:rPr>
        <w:t>染色结</w:t>
      </w:r>
      <w:r>
        <w:rPr>
          <w:rFonts w:hint="eastAsia" w:ascii="宋体" w:hAnsi="宋体" w:eastAsia="宋体" w:cs="宋体"/>
          <w:b/>
          <w:bCs/>
          <w:w w:val="110"/>
          <w:lang w:val="en-US" w:eastAsia="zh-CN"/>
        </w:rPr>
        <w:t>果：</w:t>
      </w: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spacing w:before="9"/>
        <w:rPr>
          <w:sz w:val="33"/>
        </w:rPr>
      </w:pPr>
    </w:p>
    <w:p>
      <w:pPr>
        <w:spacing w:before="0"/>
        <w:ind w:left="403" w:right="0" w:firstLine="0"/>
        <w:jc w:val="lef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110"/>
          <w:sz w:val="24"/>
        </w:rPr>
        <w:t>注意事</w:t>
      </w:r>
      <w:r>
        <w:rPr>
          <w:rFonts w:hint="eastAsia" w:ascii="宋体" w:hAnsi="宋体" w:eastAsia="宋体" w:cs="宋体"/>
          <w:b/>
          <w:bCs/>
          <w:w w:val="110"/>
          <w:sz w:val="24"/>
          <w:lang w:val="en-US" w:eastAsia="zh-CN"/>
        </w:rPr>
        <w:t>项：</w:t>
      </w:r>
    </w:p>
    <w:p>
      <w:pPr>
        <w:pStyle w:val="3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spacing w:before="10"/>
        <w:rPr>
          <w:rFonts w:hint="eastAsia" w:ascii="宋体" w:hAnsi="宋体" w:eastAsia="宋体" w:cs="宋体"/>
          <w:sz w:val="19"/>
        </w:rPr>
      </w:pPr>
    </w:p>
    <w:p>
      <w:pPr>
        <w:pStyle w:val="3"/>
        <w:spacing w:line="331" w:lineRule="auto"/>
        <w:ind w:left="242" w:right="3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肥大细胞颗粒背景</w:t>
      </w:r>
    </w:p>
    <w:p>
      <w:pPr>
        <w:pStyle w:val="3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spacing w:before="10"/>
        <w:rPr>
          <w:rFonts w:hint="eastAsia" w:ascii="宋体" w:hAnsi="宋体" w:eastAsia="宋体" w:cs="宋体"/>
          <w:sz w:val="17"/>
        </w:rPr>
      </w:pPr>
    </w:p>
    <w:p>
      <w:pPr>
        <w:pStyle w:val="3"/>
        <w:spacing w:line="331" w:lineRule="auto"/>
        <w:ind w:left="403" w:right="368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紫蓝色淡蓝色</w:t>
      </w:r>
    </w:p>
    <w:p>
      <w:pPr>
        <w:spacing w:after="0" w:line="331" w:lineRule="auto"/>
        <w:rPr>
          <w:rFonts w:hint="eastAsia" w:ascii="宋体" w:hAnsi="宋体" w:eastAsia="宋体" w:cs="宋体"/>
        </w:rPr>
        <w:sectPr>
          <w:type w:val="continuous"/>
          <w:pgSz w:w="11900" w:h="16820"/>
          <w:pgMar w:top="660" w:right="1340" w:bottom="280" w:left="1680" w:header="720" w:footer="720" w:gutter="0"/>
          <w:cols w:equalWidth="0" w:num="3">
            <w:col w:w="1604" w:space="40"/>
            <w:col w:w="1544" w:space="969"/>
            <w:col w:w="4723"/>
          </w:cols>
        </w:sectPr>
      </w:pPr>
    </w:p>
    <w:p>
      <w:pPr>
        <w:pStyle w:val="3"/>
        <w:spacing w:before="6"/>
        <w:rPr>
          <w:rFonts w:hint="eastAsia" w:ascii="宋体" w:hAnsi="宋体" w:eastAsia="宋体" w:cs="宋体"/>
          <w:sz w:val="22"/>
        </w:rPr>
      </w:pPr>
    </w:p>
    <w:p>
      <w:pPr>
        <w:pStyle w:val="3"/>
        <w:spacing w:before="93"/>
        <w:ind w:left="40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</w:rPr>
        <w:t>针对于胃粘膜组织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</w:rPr>
        <w:t>软骨组织等较难着色组织的染色，浸染于甲苯胺蓝染色液的时间应</w:t>
      </w:r>
    </w:p>
    <w:p>
      <w:pPr>
        <w:pStyle w:val="3"/>
        <w:spacing w:before="87"/>
        <w:ind w:left="7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相应延长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before="147"/>
        <w:ind w:left="40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应注意组织要新鲜，取出后立即固定。</w:t>
      </w:r>
    </w:p>
    <w:p>
      <w:pPr>
        <w:pStyle w:val="3"/>
        <w:spacing w:before="105"/>
        <w:ind w:left="40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3、甲苯胺蓝染色后不宜采用低浓度乙醇脱水，否则容易导致褪色。</w:t>
      </w:r>
    </w:p>
    <w:p>
      <w:pPr>
        <w:pStyle w:val="3"/>
        <w:spacing w:before="66"/>
        <w:ind w:left="40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4、分色后应快速入 95%乙醇、无水乙醇、二甲苯的时间不宜过久，否则容易导致褪色。</w:t>
      </w:r>
    </w:p>
    <w:p>
      <w:pPr>
        <w:pStyle w:val="3"/>
        <w:spacing w:before="5"/>
        <w:rPr>
          <w:rFonts w:hint="eastAsia" w:ascii="宋体" w:hAnsi="宋体" w:eastAsia="宋体" w:cs="宋体"/>
          <w:sz w:val="41"/>
        </w:rPr>
      </w:pPr>
    </w:p>
    <w:p>
      <w:pPr>
        <w:spacing w:before="0"/>
        <w:ind w:left="403" w:right="0" w:firstLine="0"/>
        <w:jc w:val="left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b/>
          <w:bCs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4"/>
        </w:rPr>
        <w:t xml:space="preserve"> </w:t>
      </w:r>
      <w:r>
        <w:rPr>
          <w:rFonts w:hint="eastAsia" w:ascii="宋体" w:hAnsi="宋体" w:eastAsia="宋体" w:cs="宋体"/>
          <w:w w:val="105"/>
          <w:sz w:val="21"/>
          <w:szCs w:val="21"/>
        </w:rPr>
        <w:t>6 个月有效。</w:t>
      </w:r>
    </w:p>
    <w:p>
      <w:pPr>
        <w:pStyle w:val="3"/>
        <w:spacing w:before="4"/>
        <w:rPr>
          <w:rFonts w:hint="eastAsia" w:ascii="宋体" w:hAnsi="宋体" w:eastAsia="宋体" w:cs="宋体"/>
          <w:sz w:val="38"/>
        </w:rPr>
      </w:pPr>
    </w:p>
    <w:p>
      <w:pPr>
        <w:pStyle w:val="2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w w:val="115"/>
        </w:rPr>
        <w:t>相关产品：</w:t>
      </w:r>
    </w:p>
    <w:p>
      <w:pPr>
        <w:pStyle w:val="3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20"/>
          <w:pgMar w:top="660" w:right="1340" w:bottom="280" w:left="1680" w:header="720" w:footer="720" w:gutter="0"/>
        </w:sectPr>
      </w:pPr>
    </w:p>
    <w:p>
      <w:pPr>
        <w:spacing w:before="71" w:line="297" w:lineRule="auto"/>
        <w:ind w:left="2503" w:right="9" w:hanging="103"/>
        <w:jc w:val="left"/>
        <w:rPr>
          <w:rFonts w:ascii="Calibri" w:eastAsia="Calibri"/>
          <w:sz w:val="20"/>
        </w:rPr>
      </w:pPr>
      <w:r>
        <w:rPr>
          <w:rFonts w:hint="eastAsia" w:ascii="宋体" w:eastAsia="宋体"/>
          <w:sz w:val="21"/>
        </w:rPr>
        <w:t>产</w:t>
      </w:r>
      <w:r>
        <w:rPr>
          <w:sz w:val="21"/>
        </w:rPr>
        <w:t>品</w:t>
      </w:r>
      <w:r>
        <w:rPr>
          <w:rFonts w:ascii="Calibri" w:eastAsia="Calibri"/>
          <w:spacing w:val="-1"/>
          <w:sz w:val="20"/>
        </w:rPr>
        <w:t xml:space="preserve">DC0032 </w:t>
      </w:r>
      <w:r>
        <w:rPr>
          <w:rFonts w:ascii="Calibri" w:eastAsia="Calibri"/>
          <w:sz w:val="20"/>
        </w:rPr>
        <w:t>DF0111</w:t>
      </w:r>
    </w:p>
    <w:p>
      <w:pPr>
        <w:spacing w:before="15" w:line="316" w:lineRule="auto"/>
        <w:ind w:left="2491" w:right="0" w:firstLine="3"/>
        <w:jc w:val="both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 xml:space="preserve">DG0005 </w:t>
      </w:r>
      <w:r>
        <w:rPr>
          <w:rFonts w:ascii="Calibri"/>
          <w:sz w:val="20"/>
        </w:rPr>
        <w:t xml:space="preserve">DH0001 DJ0001 DK0022 </w:t>
      </w:r>
      <w:r>
        <w:rPr>
          <w:rFonts w:ascii="Calibri"/>
          <w:spacing w:val="-1"/>
          <w:sz w:val="20"/>
        </w:rPr>
        <w:t xml:space="preserve">NH0043 </w:t>
      </w:r>
      <w:r>
        <w:rPr>
          <w:rFonts w:ascii="Calibri"/>
          <w:sz w:val="20"/>
        </w:rPr>
        <w:t>TC0713</w:t>
      </w:r>
    </w:p>
    <w:p>
      <w:pPr>
        <w:spacing w:before="71"/>
        <w:ind w:left="1497" w:right="0" w:firstLine="0"/>
        <w:jc w:val="left"/>
        <w:rPr>
          <w:sz w:val="21"/>
        </w:rPr>
      </w:pPr>
      <w:r>
        <w:br w:type="column"/>
      </w:r>
      <w:r>
        <w:rPr>
          <w:rFonts w:hint="eastAsia" w:ascii="宋体" w:eastAsia="宋体"/>
          <w:sz w:val="21"/>
        </w:rPr>
        <w:t>产</w:t>
      </w:r>
      <w:r>
        <w:rPr>
          <w:sz w:val="21"/>
        </w:rPr>
        <w:t>品</w:t>
      </w:r>
    </w:p>
    <w:p>
      <w:pPr>
        <w:spacing w:before="53"/>
        <w:ind w:left="290" w:right="0" w:firstLine="0"/>
        <w:jc w:val="left"/>
        <w:rPr>
          <w:sz w:val="20"/>
        </w:rPr>
      </w:pPr>
      <w:r>
        <w:rPr>
          <w:rFonts w:ascii="Calibri" w:eastAsia="Calibri"/>
          <w:spacing w:val="-1"/>
          <w:sz w:val="20"/>
        </w:rPr>
        <w:t>Masson</w:t>
      </w:r>
      <w:r>
        <w:rPr>
          <w:sz w:val="20"/>
        </w:rPr>
        <w:t>三色染色液</w:t>
      </w:r>
    </w:p>
    <w:p>
      <w:pPr>
        <w:spacing w:before="65" w:line="280" w:lineRule="auto"/>
        <w:ind w:left="290" w:right="3131" w:firstLine="0"/>
        <w:jc w:val="left"/>
        <w:rPr>
          <w:sz w:val="20"/>
        </w:rPr>
      </w:pPr>
      <w:r>
        <w:rPr>
          <w:sz w:val="20"/>
        </w:rPr>
        <w:t>中性福</w:t>
      </w:r>
      <w:r>
        <w:rPr>
          <w:rFonts w:hint="eastAsia" w:ascii="宋体" w:eastAsia="宋体"/>
          <w:sz w:val="20"/>
        </w:rPr>
        <w:t>尔马</w:t>
      </w:r>
      <w:r>
        <w:rPr>
          <w:sz w:val="20"/>
        </w:rPr>
        <w:t>林固定液</w:t>
      </w:r>
      <w:r>
        <w:rPr>
          <w:rFonts w:ascii="Calibri" w:eastAsia="Calibri"/>
          <w:sz w:val="20"/>
        </w:rPr>
        <w:t xml:space="preserve">(10%) </w:t>
      </w:r>
      <w:r>
        <w:rPr>
          <w:sz w:val="20"/>
        </w:rPr>
        <w:t xml:space="preserve">糖原 </w:t>
      </w:r>
      <w:r>
        <w:rPr>
          <w:rFonts w:ascii="Calibri" w:eastAsia="Calibri"/>
          <w:sz w:val="20"/>
        </w:rPr>
        <w:t>PAS</w:t>
      </w:r>
      <w:r>
        <w:rPr>
          <w:sz w:val="20"/>
        </w:rPr>
        <w:t>染色液</w:t>
      </w:r>
      <w:bookmarkStart w:id="0" w:name="_GoBack"/>
      <w:bookmarkEnd w:id="0"/>
    </w:p>
    <w:p>
      <w:pPr>
        <w:spacing w:before="43" w:line="280" w:lineRule="auto"/>
        <w:ind w:left="290" w:right="2744" w:firstLine="0"/>
        <w:jc w:val="left"/>
        <w:rPr>
          <w:rFonts w:ascii="Calibri" w:eastAsia="Calibri"/>
          <w:sz w:val="20"/>
        </w:rPr>
      </w:pPr>
      <w:r>
        <w:rPr>
          <w:sz w:val="20"/>
        </w:rPr>
        <w:t xml:space="preserve">改良 </w:t>
      </w:r>
      <w:r>
        <w:rPr>
          <w:rFonts w:ascii="Calibri" w:eastAsia="Calibri"/>
          <w:sz w:val="20"/>
        </w:rPr>
        <w:t>Lillie-Mayer</w:t>
      </w:r>
      <w:r>
        <w:rPr>
          <w:rFonts w:hint="eastAsia" w:ascii="宋体" w:eastAsia="宋体"/>
          <w:sz w:val="20"/>
        </w:rPr>
        <w:t>苏</w:t>
      </w:r>
      <w:r>
        <w:rPr>
          <w:sz w:val="20"/>
        </w:rPr>
        <w:t>木素染色液普</w:t>
      </w:r>
      <w:r>
        <w:rPr>
          <w:rFonts w:hint="eastAsia" w:ascii="宋体" w:eastAsia="宋体"/>
          <w:sz w:val="20"/>
        </w:rPr>
        <w:t>鲁</w:t>
      </w:r>
      <w:r>
        <w:rPr>
          <w:sz w:val="20"/>
        </w:rPr>
        <w:t>士</w:t>
      </w:r>
      <w:r>
        <w:rPr>
          <w:rFonts w:hint="eastAsia" w:ascii="宋体" w:eastAsia="宋体"/>
          <w:sz w:val="20"/>
        </w:rPr>
        <w:t>蓝</w:t>
      </w:r>
      <w:r>
        <w:rPr>
          <w:sz w:val="20"/>
        </w:rPr>
        <w:t>染色液</w:t>
      </w:r>
      <w:r>
        <w:rPr>
          <w:rFonts w:ascii="Calibri" w:eastAsia="Calibri"/>
          <w:sz w:val="20"/>
        </w:rPr>
        <w:t>(</w:t>
      </w:r>
      <w:r>
        <w:rPr>
          <w:sz w:val="20"/>
        </w:rPr>
        <w:t>核固</w:t>
      </w:r>
      <w:r>
        <w:rPr>
          <w:rFonts w:hint="eastAsia" w:ascii="宋体" w:eastAsia="宋体"/>
          <w:sz w:val="20"/>
        </w:rPr>
        <w:t>红</w:t>
      </w:r>
      <w:r>
        <w:rPr>
          <w:sz w:val="20"/>
        </w:rPr>
        <w:t>法</w:t>
      </w:r>
      <w:r>
        <w:rPr>
          <w:rFonts w:ascii="Calibri" w:eastAsia="Calibri"/>
          <w:sz w:val="20"/>
        </w:rPr>
        <w:t>)</w:t>
      </w:r>
    </w:p>
    <w:p>
      <w:pPr>
        <w:spacing w:before="21" w:line="324" w:lineRule="auto"/>
        <w:ind w:left="290" w:right="3432" w:firstLine="0"/>
        <w:jc w:val="left"/>
        <w:rPr>
          <w:rFonts w:ascii="Calibri" w:hAnsi="Calibri" w:eastAsia="Calibri"/>
          <w:sz w:val="20"/>
        </w:rPr>
      </w:pPr>
      <w:r>
        <w:rPr>
          <w:sz w:val="20"/>
        </w:rPr>
        <w:t>尼氏染色液</w:t>
      </w:r>
      <w:r>
        <w:rPr>
          <w:rFonts w:ascii="Calibri" w:hAnsi="Calibri" w:eastAsia="Calibri"/>
          <w:sz w:val="20"/>
        </w:rPr>
        <w:t>(</w:t>
      </w:r>
      <w:r>
        <w:rPr>
          <w:sz w:val="20"/>
        </w:rPr>
        <w:t>焦油紫法</w:t>
      </w:r>
      <w:r>
        <w:rPr>
          <w:rFonts w:ascii="Calibri" w:hAnsi="Calibri" w:eastAsia="Calibri"/>
          <w:sz w:val="20"/>
        </w:rPr>
        <w:t>) SSC</w:t>
      </w:r>
      <w:r>
        <w:rPr>
          <w:rFonts w:hint="eastAsia" w:ascii="宋体" w:hAnsi="宋体" w:eastAsia="宋体"/>
          <w:sz w:val="20"/>
        </w:rPr>
        <w:t>缓</w:t>
      </w:r>
      <w:r>
        <w:rPr>
          <w:sz w:val="20"/>
        </w:rPr>
        <w:t>冲液</w:t>
      </w:r>
      <w:r>
        <w:rPr>
          <w:rFonts w:ascii="Calibri" w:hAnsi="Calibri" w:eastAsia="Calibri"/>
          <w:sz w:val="20"/>
        </w:rPr>
        <w:t>(20</w:t>
      </w:r>
      <w:r>
        <w:rPr>
          <w:rFonts w:hint="eastAsia" w:ascii="宋体" w:hAnsi="宋体" w:eastAsia="宋体"/>
          <w:sz w:val="20"/>
        </w:rPr>
        <w:t>×</w:t>
      </w:r>
      <w:r>
        <w:rPr>
          <w:rFonts w:ascii="Calibri" w:hAnsi="Calibri" w:eastAsia="Calibri"/>
          <w:sz w:val="20"/>
        </w:rPr>
        <w:t>,pH7.0)</w:t>
      </w:r>
    </w:p>
    <w:p>
      <w:pPr>
        <w:spacing w:before="0" w:line="232" w:lineRule="exact"/>
        <w:ind w:left="290" w:right="0" w:firstLine="0"/>
        <w:jc w:val="left"/>
        <w:rPr>
          <w:rFonts w:ascii="Calibri" w:eastAsia="Calibri"/>
          <w:sz w:val="20"/>
        </w:rPr>
      </w:pPr>
      <w:r>
        <w:rPr>
          <w:sz w:val="20"/>
        </w:rPr>
        <w:t>葡萄糖</w:t>
      </w:r>
      <w:r>
        <w:rPr>
          <w:rFonts w:hint="eastAsia" w:ascii="宋体" w:eastAsia="宋体"/>
          <w:sz w:val="20"/>
        </w:rPr>
        <w:t>检测试剂</w:t>
      </w:r>
      <w:r>
        <w:rPr>
          <w:sz w:val="20"/>
        </w:rPr>
        <w:t>盒</w:t>
      </w:r>
      <w:r>
        <w:rPr>
          <w:rFonts w:ascii="Calibri" w:eastAsia="Calibri"/>
          <w:sz w:val="20"/>
        </w:rPr>
        <w:t>(GOD-POD</w:t>
      </w:r>
      <w:r>
        <w:rPr>
          <w:sz w:val="20"/>
        </w:rPr>
        <w:t>比色法</w:t>
      </w:r>
      <w:r>
        <w:rPr>
          <w:rFonts w:ascii="Calibri" w:eastAsia="Calibri"/>
          <w:sz w:val="20"/>
        </w:rPr>
        <w:t>)</w:t>
      </w:r>
    </w:p>
    <w:sectPr>
      <w:type w:val="continuous"/>
      <w:pgSz w:w="11900" w:h="16820"/>
      <w:pgMar w:top="660" w:right="1340" w:bottom="280" w:left="1680" w:header="720" w:footer="720" w:gutter="0"/>
      <w:cols w:equalWidth="0" w:num="2">
        <w:col w:w="3150" w:space="40"/>
        <w:col w:w="56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04043" o:spid="_x0000_s2051" o:spt="136" type="#_x0000_t136" style="position:absolute;left:0pt;height:70.1pt;width:557.7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3859530</wp:posOffset>
              </wp:positionH>
              <wp:positionV relativeFrom="paragraph">
                <wp:posOffset>-11430</wp:posOffset>
              </wp:positionV>
              <wp:extent cx="1771650" cy="885825"/>
              <wp:effectExtent l="0" t="0" r="0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26330" y="458470"/>
                        <a:ext cx="17716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3.9pt;margin-top:-0.9pt;height:69.75pt;width:139.5pt;z-index:251658240;mso-width-relative:page;mso-height-relative:page;" fillcolor="#FFFFFF" filled="t" stroked="f" coordsize="21600,21600" o:gfxdata="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6z+STXAAAACgEAAA8AAAAAAAAAAQAgAAAAIgAAAGRycy9kb3du&#10;cmV2LnhtbFBLAQIUABQAAAAIAIdO4kAX7/wE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D4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UI Gothic" w:hAnsi="MS UI Gothic" w:eastAsia="MS UI Gothic" w:cs="MS UI Gothic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2019-05-16T02:26:00Z</dcterms:created>
  <dc:creator>94099</dc:creator>
  <cp:lastModifiedBy>Cute  princess</cp:lastModifiedBy>
  <dcterms:modified xsi:type="dcterms:W3CDTF">2019-05-16T02:42:07Z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2019-05-16T00:00:00Z</vt:filetime>
  </property>
  <property fmtid="{D5CDD505-2E9C-101B-9397-08002B2CF9AE}" pid="5" name="KSOProductBuildVer">
    <vt:lpwstr>2052-11.1.0.8612</vt:lpwstr>
  </property>
</Properties>
</file>