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病毒包涵体染色液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亚</w:t>
      </w:r>
      <w:r>
        <w:rPr>
          <w:rFonts w:hint="eastAsia" w:ascii="宋体" w:hAnsi="宋体" w:eastAsia="宋体" w:cs="宋体"/>
          <w:b/>
          <w:sz w:val="30"/>
        </w:rPr>
        <w:t>甲</w:t>
      </w:r>
      <w:r>
        <w:rPr>
          <w:rFonts w:hint="eastAsia" w:ascii="宋体" w:hAnsi="宋体" w:eastAsia="宋体" w:cs="宋体"/>
          <w:b/>
          <w:sz w:val="30"/>
        </w:rPr>
        <w:t>蓝</w:t>
      </w:r>
      <w:r>
        <w:rPr>
          <w:rFonts w:hint="eastAsia" w:ascii="宋体" w:hAnsi="宋体" w:eastAsia="宋体" w:cs="宋体"/>
          <w:b/>
          <w:sz w:val="30"/>
        </w:rPr>
        <w:t>伊</w:t>
      </w:r>
      <w:r>
        <w:rPr>
          <w:rFonts w:hint="eastAsia" w:ascii="宋体" w:hAnsi="宋体" w:eastAsia="宋体" w:cs="宋体"/>
          <w:b/>
          <w:sz w:val="30"/>
        </w:rPr>
        <w:t>红</w:t>
      </w:r>
      <w:r>
        <w:rPr>
          <w:rFonts w:hint="eastAsia" w:ascii="宋体" w:hAnsi="宋体" w:eastAsia="宋体" w:cs="宋体"/>
          <w:b/>
          <w:sz w:val="30"/>
        </w:rPr>
        <w:t>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517"/>
            <w:col w:w="69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 w:right="31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病毒是一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>极其微小，能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通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菌器的只能在活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增殖的微生物。病毒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 xml:space="preserve">粒一般在  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30nm</w:t>
      </w:r>
      <w:r>
        <w:rPr>
          <w:rFonts w:hint="eastAsia" w:ascii="宋体" w:hAnsi="宋体" w:eastAsia="宋体" w:cs="宋体"/>
        </w:rPr>
        <w:t>，主要由核酸和蛋白</w:t>
      </w:r>
      <w:r>
        <w:rPr>
          <w:rFonts w:hint="eastAsia" w:ascii="宋体" w:hAnsi="宋体" w:eastAsia="宋体" w:cs="宋体"/>
        </w:rPr>
        <w:t>质组</w:t>
      </w:r>
      <w:r>
        <w:rPr>
          <w:rFonts w:hint="eastAsia" w:ascii="宋体" w:hAnsi="宋体" w:eastAsia="宋体" w:cs="宋体"/>
        </w:rPr>
        <w:t>成。普通光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下，某些病毒感染的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胞内可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大小和数量不等的</w:t>
      </w:r>
      <w:r>
        <w:rPr>
          <w:rFonts w:hint="eastAsia" w:ascii="宋体" w:hAnsi="宋体" w:eastAsia="宋体" w:cs="宋体"/>
        </w:rPr>
        <w:t>圆</w:t>
      </w:r>
      <w:r>
        <w:rPr>
          <w:rFonts w:hint="eastAsia" w:ascii="宋体" w:hAnsi="宋体" w:eastAsia="宋体" w:cs="宋体"/>
        </w:rPr>
        <w:t>形或不</w:t>
      </w:r>
      <w:r>
        <w:rPr>
          <w:rFonts w:hint="eastAsia" w:ascii="宋体" w:hAnsi="宋体" w:eastAsia="宋体" w:cs="宋体"/>
        </w:rPr>
        <w:t>规则</w:t>
      </w:r>
      <w:r>
        <w:rPr>
          <w:rFonts w:hint="eastAsia" w:ascii="宋体" w:hAnsi="宋体" w:eastAsia="宋体" w:cs="宋体"/>
        </w:rPr>
        <w:t>小体，称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病毒包涵体。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多位于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内，呈酸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403" w:right="24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性，如狂犬病毒包涵体；有些位于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胞核内，呈碱性，如腺病毒核内包涵体；有些既在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内也在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胞核内，如麻疹病毒包涵体。</w:t>
      </w:r>
      <w:r>
        <w:rPr>
          <w:rFonts w:hint="eastAsia" w:ascii="宋体" w:hAnsi="宋体" w:eastAsia="宋体" w:cs="宋体"/>
        </w:rPr>
        <w:t xml:space="preserve">RNA  </w:t>
      </w:r>
      <w:r>
        <w:rPr>
          <w:rFonts w:hint="eastAsia" w:ascii="宋体" w:hAnsi="宋体" w:eastAsia="宋体" w:cs="宋体"/>
        </w:rPr>
        <w:t>病毒常形成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内包涵体，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病毒多形</w:t>
      </w:r>
      <w:r>
        <w:rPr>
          <w:rFonts w:hint="eastAsia" w:ascii="宋体" w:hAnsi="宋体" w:eastAsia="宋体" w:cs="宋体"/>
          <w:w w:val="105"/>
        </w:rPr>
        <w:t>成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胞核内包涵体。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3" w:right="1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病毒包涵体染色液采用 </w:t>
      </w:r>
      <w:r>
        <w:rPr>
          <w:rFonts w:hint="eastAsia" w:ascii="宋体" w:hAnsi="宋体" w:eastAsia="宋体" w:cs="宋体"/>
        </w:rPr>
        <w:t xml:space="preserve">Mann 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染色法，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胞核被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染成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 包涵体被伊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染成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色。在病毒感染中，包涵体可能是病毒增殖部位，但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注意并非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的所有包涵体都是病毒，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05"/>
        </w:rPr>
        <w:t>性也会形成包涵体。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39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39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39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39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DM0062      DM0062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39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2×20ML     2×50ML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39"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试剂(A): 亚甲蓝伊红染色液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20ML        50ML    4℃ 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firstLine="1050" w:firstLineChars="5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试剂(B): Mann 分化液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20ML        50ML    4℃ 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39" w:firstLine="630" w:firstLineChars="3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39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w w:val="130"/>
          <w:sz w:val="19"/>
        </w:rPr>
        <w:t>、</w:t>
      </w:r>
      <w:r>
        <w:rPr>
          <w:rFonts w:hint="eastAsia" w:ascii="宋体" w:hAnsi="宋体" w:eastAsia="宋体" w:cs="宋体"/>
          <w:w w:val="105"/>
        </w:rPr>
        <w:t>10%中性福尔马林固定液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19"/>
        </w:rPr>
        <w:t>2、</w:t>
      </w:r>
      <w:r>
        <w:rPr>
          <w:rFonts w:hint="eastAsia" w:ascii="宋体" w:hAnsi="宋体" w:eastAsia="宋体" w:cs="宋体"/>
          <w:w w:val="110"/>
          <w:sz w:val="21"/>
          <w:szCs w:val="21"/>
        </w:rPr>
        <w:t>蒸馏水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3、系列乙醇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 xml:space="preserve">1、常规固定(常采用 10%福尔马林), </w:t>
      </w:r>
      <w:r>
        <w:rPr>
          <w:rFonts w:hint="eastAsia" w:ascii="宋体" w:hAnsi="宋体" w:eastAsia="宋体" w:cs="宋体"/>
          <w:w w:val="105"/>
          <w:sz w:val="19"/>
        </w:rPr>
        <w:t xml:space="preserve">常规脱水包埋 </w:t>
      </w:r>
      <w:r>
        <w:rPr>
          <w:rFonts w:hint="eastAsia" w:ascii="宋体" w:hAnsi="宋体" w:eastAsia="宋体" w:cs="宋体"/>
          <w:w w:val="130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组织切片脱蜡入蒸馏水。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 xml:space="preserve">3、入亚甲蓝伊红染色液 </w:t>
      </w:r>
      <w:r>
        <w:rPr>
          <w:rFonts w:hint="eastAsia" w:ascii="宋体" w:hAnsi="宋体" w:eastAsia="宋体" w:cs="宋体"/>
          <w:w w:val="105"/>
          <w:sz w:val="21"/>
        </w:rPr>
        <w:t>，浸染 8～24h。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5、蒸馏</w:t>
      </w:r>
      <w:r>
        <w:rPr>
          <w:rFonts w:hint="eastAsia" w:ascii="宋体" w:hAnsi="宋体" w:eastAsia="宋体" w:cs="宋体"/>
          <w:spacing w:val="-4"/>
          <w:w w:val="110"/>
        </w:rPr>
        <w:t xml:space="preserve">水洗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56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Mann 分化液分化 20～30s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7、丙酮脱水，二甲苯透明，中性树胶封固。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9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pStyle w:val="3"/>
        <w:spacing w:before="1"/>
        <w:rPr>
          <w:rFonts w:ascii="Cambria"/>
          <w:b/>
          <w:sz w:val="11"/>
        </w:rPr>
      </w:pPr>
    </w:p>
    <w:p>
      <w:pPr>
        <w:spacing w:after="0"/>
        <w:rPr>
          <w:rFonts w:ascii="Cambria"/>
          <w:sz w:val="11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6"/>
        <w:rPr>
          <w:rFonts w:ascii="Malgun Gothic"/>
          <w:b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tabs>
          <w:tab w:val="left" w:pos="28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包涵体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红色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8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细胞核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82"/>
            <w:col w:w="739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1、病毒很小，光镜下不易被发现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应仔细观察。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</w:t>
      </w:r>
      <w:r>
        <w:rPr>
          <w:w w:val="105"/>
          <w:sz w:val="21"/>
        </w:rPr>
        <w:t>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16467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-20955</wp:posOffset>
              </wp:positionV>
              <wp:extent cx="1962150" cy="90487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7755" y="448945"/>
                        <a:ext cx="19621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65pt;margin-top:-1.65pt;height:71.25pt;width:154.5pt;z-index:251658240;mso-width-relative:page;mso-height-relative:page;" fillcolor="#FFFFFF" filled="t" stroked="f" coordsize="21600,21600" o:gfxdata="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HFuBDXAAAACgEAAA8AAAAAAAAAAQAgAAAAIgAAAGRycy9kb3du&#10;cmV2LnhtbFBLAQIUABQAAAAIAIdO4kDnp2cS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A5E43"/>
    <w:rsid w:val="7E860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2019-06-06T02:59:00Z</dcterms:created>
  <dc:creator>94099</dc:creator>
  <cp:lastModifiedBy>Cute  princess</cp:lastModifiedBy>
  <dcterms:modified xsi:type="dcterms:W3CDTF">2019-06-06T06:29:40Z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