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2583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2.9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0zN4eNkAAAAM&#10;AQAADwAAAGRycy9kb3ducmV2LnhtbE2PvU7DQBCEeyTe4bRINBG5s8EhGJ9TAO5oCCDajb3YFr49&#10;x3f5gadnU0E5O6OZb4vV0Q1qT1PoPVtI5gYUce2bnlsLb6/V1RJUiMgNDp7JwjcFWJXnZwXmjT/w&#10;C+3XsVVSwiFHC12MY651qDtyGOZ+JBbv008Oo8ip1c2EByl3g06NWWiHPctChyM9dFR/rXfOQqje&#10;aVv9zOqZ+bhuPaXbx+cntPbyIjH3oCId418YTviCDqUwbfyOm6AG0TeZoEcLaXZ3C+qUMMskA7WR&#10;08IkoMtC/3+i/AVQSwMEFAAAAAgAh07iQAbJLi3iAQAAqQMAAA4AAABkcnMvZTJvRG9jLnhtbK1T&#10;S27bMBDdF+gdCO5ryYplxILlLOKmm6I10PYAY34kAvyBZCz7LL1GV930OLlGh7Sbpu0mCKoFNeQM&#10;38x7elrfHI0mBxGicran81lNibDMcWWHnn75fPfmmpKYwHLQzoqenkSkN5vXr9aT70TjRqe5CARB&#10;bOwm39MxJd9VVWSjMBBnzguLSemCgYTbMFQ8wIToRldNXS+ryQXug2MiRjzdnpN0U/ClFCx9lDKK&#10;RHRPcbZU1lDWfV6rzRq6IYAfFbuMAS+YwoCy2PQRagsJyH1Q/0AZxYKLTqYZc6ZyUiomCgdkM6//&#10;YvNpBC8KFxQn+keZ4v+DZR8Ou0AU7+kVJRYMfqKHr98evv8gTdZm8rHDklu7C5dd9LuQiR5lMPmN&#10;FMixp6umvb5CgU9oguViVa/as7TimAjDfLtazJd4SBhWNO2iKF/9hvEhpnfCGZKDnmplM3Ho4PA+&#10;JmyNpb9K8rG2ZMKmbZMRAX0jNSQMjUcm0Q7lbnRa8Tuldb4Rw7C/1YEcIDuhPHlCxP2jLDfZQhzP&#10;dSV1JjIK4G8tJ+nkUSOLZqZ5BCM4JVqg93OEgNAlUPo5ldha23xBFJ9eeGbFzxrnaO/4Cb/PvQ9q&#10;GFGXeZk5Z9APZfqLd7Phnu4xfvqHbX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zN4eNkAAAAM&#10;AQAADwAAAAAAAAABACAAAAAiAAAAZHJzL2Rvd25yZXYueG1sUEsBAhQAFAAAAAgAh07iQAbJLi3i&#10;AQAAqQMAAA4AAAAAAAAAAQAgAAAAK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  <w:b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Theme="majorEastAsia" w:hAnsiTheme="majorEastAsia" w:eastAsiaTheme="majorEastAsia" w:cstheme="majorEastAsia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  <w:sz w:val="24"/>
        </w:rPr>
        <w:sectPr>
          <w:headerReference r:id="rId3" w:type="default"/>
          <w:type w:val="continuous"/>
          <w:pgSz w:w="11900" w:h="16840"/>
          <w:pgMar w:top="660" w:right="116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  <w:b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1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30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  <w:b/>
          <w:sz w:val="30"/>
        </w:rPr>
        <w:t>Thomas 磷钼酸苏木素染色液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30"/>
        </w:rPr>
        <w:sectPr>
          <w:type w:val="continuous"/>
          <w:pgSz w:w="11900" w:h="16840"/>
          <w:pgMar w:top="660" w:right="1160" w:bottom="280" w:left="1680" w:header="720" w:footer="720" w:gutter="0"/>
          <w:cols w:equalWidth="0" w:num="2">
            <w:col w:w="1646" w:space="517"/>
            <w:col w:w="689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930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肌纤维(Muscle fiber)属于肌组织成分，由肌细胞组成。根据形态和功能特点，肌纤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13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-1"/>
        </w:rPr>
        <w:t>维可以分为平滑肌(又称横纹肌)、骨骼肌、心肌。肌纤维染色的方法有很多种，如丽春红法、</w:t>
      </w:r>
      <w:r>
        <w:rPr>
          <w:rFonts w:hint="eastAsia" w:asciiTheme="majorEastAsia" w:hAnsiTheme="majorEastAsia" w:eastAsiaTheme="majorEastAsia" w:cstheme="majorEastAsia"/>
        </w:rPr>
        <w:t>苯胺蓝法、钨磷钨酸苏木素法等。目前使用磷钼酸作为媒染剂的苏木素较少，唯一受到大家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认可的是 </w:t>
      </w:r>
      <w:r>
        <w:rPr>
          <w:rFonts w:hint="eastAsia" w:asciiTheme="majorEastAsia" w:hAnsiTheme="majorEastAsia" w:eastAsiaTheme="majorEastAsia" w:cstheme="majorEastAsia"/>
        </w:rPr>
        <w:t>McManus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 和 </w:t>
      </w:r>
      <w:r>
        <w:rPr>
          <w:rFonts w:hint="eastAsia" w:asciiTheme="majorEastAsia" w:hAnsiTheme="majorEastAsia" w:eastAsiaTheme="majorEastAsia" w:cstheme="majorEastAsia"/>
        </w:rPr>
        <w:t>Nowry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 采用的用于显示胶原和粗网状纤维的 </w:t>
      </w:r>
      <w:r>
        <w:rPr>
          <w:rFonts w:hint="eastAsia" w:asciiTheme="majorEastAsia" w:hAnsiTheme="majorEastAsia" w:eastAsiaTheme="majorEastAsia" w:cstheme="majorEastAsia"/>
        </w:rPr>
        <w:t>Thomas</w:t>
      </w:r>
      <w:r>
        <w:rPr>
          <w:rFonts w:hint="eastAsia" w:asciiTheme="majorEastAsia" w:hAnsiTheme="majorEastAsia" w:eastAsiaTheme="majorEastAsia" w:cstheme="majorEastAsia"/>
          <w:spacing w:val="10"/>
        </w:rPr>
        <w:t xml:space="preserve"> 磷钼酸苏木 素技术。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" w:line="350" w:lineRule="exact"/>
        <w:ind w:left="405" w:right="272" w:firstLine="526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Thomas 磷钼酸苏木素液主要由 Thomas 磷钼酸苏木素、Thomas 分化液组成，主要用于胶原、粗网状纤维、嗜银细胞颗粒等染色。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textAlignment w:val="auto"/>
        <w:rPr>
          <w:rFonts w:hint="eastAsia" w:asciiTheme="majorEastAsia" w:hAnsiTheme="majorEastAsia" w:eastAsiaTheme="majorEastAsia" w:cstheme="majorEastAsia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产品组成：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Theme="majorEastAsia" w:hAnsiTheme="majorEastAsia" w:eastAsiaTheme="majorEastAsia" w:cstheme="majorEastAsia"/>
          <w:b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  <w:sz w:val="22"/>
        </w:rPr>
        <w:sectPr>
          <w:type w:val="continuous"/>
          <w:pgSz w:w="11900" w:h="16840"/>
          <w:pgMar w:top="660" w:right="116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Theme="majorEastAsia" w:hAnsiTheme="majorEastAsia" w:eastAsiaTheme="majorEastAsia" w:cstheme="majorEastAsia"/>
          <w:b/>
          <w:sz w:val="2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1562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试剂(A): Thomas 磷钼酸苏木素染色液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29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</w:rPr>
        <w:t>2×100ml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16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100ml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Theme="majorEastAsia" w:hAnsiTheme="majorEastAsia" w:eastAsiaTheme="majorEastAsia" w:cstheme="majorEastAsia"/>
          <w:sz w:val="27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171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19"/>
        </w:rPr>
      </w:pPr>
      <w:r>
        <w:rPr>
          <w:rFonts w:hint="eastAsia" w:asciiTheme="majorEastAsia" w:hAnsiTheme="majorEastAsia" w:eastAsiaTheme="majorEastAsia" w:cstheme="majorEastAsia"/>
          <w:sz w:val="19"/>
        </w:rPr>
        <w:t>RT 避 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19"/>
        </w:rPr>
        <w:sectPr>
          <w:type w:val="continuous"/>
          <w:pgSz w:w="11900" w:h="16840"/>
          <w:pgMar w:top="660" w:right="1160" w:bottom="280" w:left="1680" w:header="720" w:footer="720" w:gutter="0"/>
          <w:cols w:equalWidth="0" w:num="3">
            <w:col w:w="5191" w:space="40"/>
            <w:col w:w="1197" w:space="39"/>
            <w:col w:w="2593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562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试剂(B): Thomas 分化液</w:t>
      </w:r>
    </w:p>
    <w:p>
      <w:pPr>
        <w:keepNext w:val="0"/>
        <w:keepLines w:val="0"/>
        <w:pageBreakBefore w:val="0"/>
        <w:widowControl w:val="0"/>
        <w:tabs>
          <w:tab w:val="left" w:pos="2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1562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19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  <w:sz w:val="21"/>
        </w:rPr>
        <w:t>100ml</w:t>
      </w:r>
      <w:r>
        <w:rPr>
          <w:rFonts w:hint="eastAsia" w:asciiTheme="majorEastAsia" w:hAnsiTheme="majorEastAsia" w:eastAsiaTheme="majorEastAsia" w:cstheme="majorEastAsia"/>
          <w:sz w:val="21"/>
        </w:rPr>
        <w:tab/>
      </w:r>
      <w:r>
        <w:rPr>
          <w:rFonts w:hint="eastAsia" w:asciiTheme="majorEastAsia" w:hAnsiTheme="majorEastAsia" w:eastAsiaTheme="majorEastAsia" w:cstheme="majorEastAsia"/>
          <w:sz w:val="19"/>
        </w:rPr>
        <w:t>RT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19"/>
        </w:rPr>
        <w:sectPr>
          <w:type w:val="continuous"/>
          <w:pgSz w:w="11900" w:h="16840"/>
          <w:pgMar w:top="660" w:right="1160" w:bottom="280" w:left="1680" w:header="720" w:footer="720" w:gutter="0"/>
          <w:cols w:equalWidth="0" w:num="2">
            <w:col w:w="3954" w:space="131"/>
            <w:col w:w="4975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Theme="majorEastAsia" w:hAnsiTheme="majorEastAsia" w:eastAsiaTheme="majorEastAsia" w:cstheme="majorEastAsia"/>
          <w:sz w:val="1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自备材料：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-1"/>
        </w:rPr>
        <w:t>1</w:t>
      </w:r>
      <w:r>
        <w:rPr>
          <w:rFonts w:hint="eastAsia" w:asciiTheme="majorEastAsia" w:hAnsiTheme="majorEastAsia" w:eastAsiaTheme="majorEastAsia" w:cstheme="majorEastAsia"/>
        </w:rPr>
        <w:t>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操作步骤</w:t>
      </w:r>
      <w:r>
        <w:rPr>
          <w:rFonts w:hint="eastAsia" w:asciiTheme="majorEastAsia" w:hAnsiTheme="majorEastAsia" w:eastAsiaTheme="majorEastAsia" w:cstheme="majorEastAsia"/>
          <w:sz w:val="21"/>
        </w:rPr>
        <w:t>(仅供参考)</w:t>
      </w:r>
      <w:r>
        <w:rPr>
          <w:rFonts w:hint="eastAsia" w:asciiTheme="majorEastAsia" w:hAnsiTheme="majorEastAsia" w:eastAsiaTheme="majorEastAsia" w:cstheme="majorEastAsia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1、常规组织固定脱水包埋。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2、石蜡切片脱蜡，系列乙醇水化至水。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389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3、入 Thomas 磷钼酸苏木素染色液中染色 2min。4、蒸馏水冲洗。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5、滴加 Thomas 分化液分化，蒸馏水快速冲洗。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6、自来水冲洗 2min。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7、95%乙醇和无水乙醇迅脱水。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8、常规脱水透明，中性树胶封固。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textAlignment w:val="auto"/>
        <w:rPr>
          <w:rFonts w:hint="eastAsia" w:asciiTheme="majorEastAsia" w:hAnsiTheme="majorEastAsia" w:eastAsiaTheme="majorEastAsia" w:cstheme="majorEastAsia"/>
          <w:sz w:val="13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18"/>
        </w:rPr>
        <w:sectPr>
          <w:type w:val="continuous"/>
          <w:pgSz w:w="11900" w:h="16840"/>
          <w:pgMar w:top="660" w:right="116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5" w:line="350" w:lineRule="exact"/>
        <w:textAlignment w:val="auto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</w:rPr>
        <w:t>染色结</w:t>
      </w:r>
      <w:r>
        <w:rPr>
          <w:rFonts w:hint="eastAsia" w:asciiTheme="majorEastAsia" w:hAnsiTheme="majorEastAsia" w:eastAsiaTheme="majorEastAsia" w:cstheme="majorEastAsia"/>
          <w:lang w:eastAsia="zh-CN"/>
        </w:rPr>
        <w:t>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textAlignment w:val="auto"/>
        <w:rPr>
          <w:rFonts w:hint="eastAsia" w:asciiTheme="majorEastAsia" w:hAnsiTheme="majorEastAsia" w:eastAsiaTheme="majorEastAsia" w:cstheme="majorEastAsia"/>
          <w:b/>
          <w:sz w:val="25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232" w:right="38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胶原蛋白、粗网状纤维嗜银细胞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textAlignment w:val="auto"/>
        <w:rPr>
          <w:rFonts w:hint="eastAsia" w:asciiTheme="majorEastAsia" w:hAnsiTheme="majorEastAsia" w:eastAsiaTheme="majorEastAsia" w:cstheme="majorEastAsia"/>
          <w:sz w:val="25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3337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紫色至黑色黑色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</w:rPr>
        <w:sectPr>
          <w:pgSz w:w="11900" w:h="16840"/>
          <w:pgMar w:top="1600" w:right="1160" w:bottom="280" w:left="1680" w:header="720" w:footer="720" w:gutter="0"/>
          <w:cols w:equalWidth="0" w:num="3">
            <w:col w:w="1606" w:space="40"/>
            <w:col w:w="2373" w:space="247"/>
            <w:col w:w="4794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Theme="majorEastAsia" w:hAnsiTheme="majorEastAsia" w:eastAsiaTheme="majorEastAsia" w:cstheme="majorEastAsia"/>
          <w:sz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  <w:b w:val="0"/>
          <w:sz w:val="21"/>
          <w:lang w:eastAsia="zh-CN"/>
        </w:rPr>
      </w:pPr>
      <w:r>
        <w:rPr>
          <w:rFonts w:hint="eastAsia" w:asciiTheme="majorEastAsia" w:hAnsiTheme="majorEastAsia" w:eastAsiaTheme="majorEastAsia" w:cstheme="majorEastAsia"/>
        </w:rPr>
        <w:t>注意事</w:t>
      </w:r>
      <w:r>
        <w:rPr>
          <w:rFonts w:hint="eastAsia" w:asciiTheme="majorEastAsia" w:hAnsiTheme="majorEastAsia" w:eastAsiaTheme="majorEastAsia" w:cstheme="majorEastAsia"/>
          <w:lang w:eastAsia="zh-CN"/>
        </w:rPr>
        <w:t>项：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262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</w:rPr>
        <w:t>细胞核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</w:rPr>
        <w:t>淡蓝色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</w:rPr>
        <w:sectPr>
          <w:type w:val="continuous"/>
          <w:pgSz w:w="11900" w:h="16840"/>
          <w:pgMar w:top="660" w:right="1160" w:bottom="280" w:left="1680" w:header="720" w:footer="720" w:gutter="0"/>
          <w:cols w:equalWidth="0" w:num="2">
            <w:col w:w="1576" w:space="40"/>
            <w:col w:w="7444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 避免采用重铬酸类固定液固定样本。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 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 xml:space="preserve">有效期： </w:t>
      </w:r>
      <w:r>
        <w:rPr>
          <w:rFonts w:hint="eastAsia" w:asciiTheme="majorEastAsia" w:hAnsiTheme="majorEastAsia" w:eastAsiaTheme="majorEastAsia" w:cstheme="majorEastAsia"/>
          <w:sz w:val="21"/>
        </w:rPr>
        <w:t>12  个月有效。</w:t>
      </w:r>
    </w:p>
    <w:sectPr>
      <w:type w:val="continuous"/>
      <w:pgSz w:w="11900" w:h="16840"/>
      <w:pgMar w:top="660" w:right="11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05691" o:spid="_x0000_s2050" o:spt="136" type="#_x0000_t136" style="position:absolute;left:0pt;height:71.5pt;width:569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3926205</wp:posOffset>
              </wp:positionH>
              <wp:positionV relativeFrom="paragraph">
                <wp:posOffset>-11430</wp:posOffset>
              </wp:positionV>
              <wp:extent cx="1828800" cy="89535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78730" y="458470"/>
                        <a:ext cx="18288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9.15pt;margin-top:-0.9pt;height:70.5pt;width:144pt;z-index:251658240;mso-width-relative:page;mso-height-relative:page;" fillcolor="#FFFFFF" filled="t" stroked="f" coordsize="21600,21600" o:gfxdata="UEsDBAoAAAAAAIdO4kAAAAAAAAAAAAAAAAAEAAAAZHJzL1BLAwQUAAAACACHTuJAOVycnNcAAAAK&#10;AQAADwAAAGRycy9kb3ducmV2LnhtbE2PwW7CMAyG75P2DpGRdpkgKYxCS1OkTdq0K4wHcBvTVmuS&#10;qgkU3n7eaTva/vT7+4v9zfbiSmPovNOQLBQIcrU3nWs0nL7e51sQIaIz2HtHGu4UYF8+PhSYGz+5&#10;A12PsREc4kKOGtoYh1zKULdkMSz8QI5vZz9ajDyOjTQjThxue7lUKpUWO8cfWhzoraX6+3ixGs6f&#10;0/M6m6qPeNocXtJX7DaVv2v9NEvUDkSkW/yD4Vef1aFkp8pfnAmi15Am2xWjGuYJV2AgUykvKiZX&#10;2RJkWcj/FcofUEsDBBQAAAAIAIdO4kAsY/sWyAEAAFQDAAAOAAAAZHJzL2Uyb0RvYy54bWytU82O&#10;0zAQviPxDpbvNGl3Q7NR05VgVS4IkBYewHWcxpLtscbeJuUB4A04ceHOc/U5dux2d/m5IXJwbM/n&#10;b+b7xl5dT9awvcKgwbV8Pis5U05Cp92u5Z8+bl7UnIUoXCcMONXygwr8ev382Wr0jVrAAKZTyIjE&#10;hWb0LR9i9E1RBDkoK8IMvHIU7AGtiLTEXdGhGIndmmJRli+LEbDzCFKFQLs3pyBfZ/6+VzK+7/ug&#10;IjMtp9piHjGP2zQW65Vodij8oOW5DPEPVVihHSV9pLoRUbA71H9RWS0RAvRxJsEW0PdaqqyB1MzL&#10;P9TcDsKrrIXMCf7RpvD/aOW7/Qdkumv5JWdOWGrR8dvX4/efxx9f2DzZM/rQEOrWEy5Or2CiNj/s&#10;B9pMqqcebfqTHkbxqlzWywuy+0C0VX25PPuspshkOl8v6rqkuCRAfVVdVBlQPBF5DPGNAsvSpOVI&#10;fcz2iv3bEKkogj5AUt4ARncbbUxe4G772iDbC+r5Jn+pXjryG8w4Nrb8qlpUmdlBOn/CGUfwpPuk&#10;L83itJ3OZmyhO5AXdOmpsgHwM2fCSZq0PHJ251HvBopkkzILtS6nP1+zdDd+XedcT49hf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5XJyc1wAAAAoBAAAPAAAAAAAAAAEAIAAAACIAAABkcnMvZG93&#10;bnJldi54bWxQSwECFAAUAAAACACHTuJALGP7Fs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917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u" w:eastAsia="zu" w:bidi="zu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  <w:lang w:val="zu" w:eastAsia="zu" w:bidi="zu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zu" w:eastAsia="zu" w:bidi="zu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u" w:eastAsia="zu" w:bidi="zu"/>
    </w:rPr>
  </w:style>
  <w:style w:type="paragraph" w:customStyle="1" w:styleId="11">
    <w:name w:val="Table Paragraph"/>
    <w:basedOn w:val="1"/>
    <w:qFormat/>
    <w:uiPriority w:val="1"/>
    <w:rPr>
      <w:lang w:val="zu" w:eastAsia="zu" w:bidi="z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2019-08-08T09:15:00Z</dcterms:created>
  <dc:creator>Administrator</dc:creator>
  <cp:lastModifiedBy>Cute  princess</cp:lastModifiedBy>
  <dcterms:modified xsi:type="dcterms:W3CDTF">2019-08-08T09:28:06Z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2019-08-08T00:00:00Z</vt:filetime>
  </property>
  <property fmtid="{D5CDD505-2E9C-101B-9397-08002B2CF9AE}" pid="5" name="KSOProductBuildVer">
    <vt:lpwstr>2052-11.1.0.8894</vt:lpwstr>
  </property>
</Properties>
</file>