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1661160</wp:posOffset>
                </wp:positionV>
                <wp:extent cx="5970270" cy="698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44880" y="1661160"/>
                          <a:ext cx="597027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74.4pt;margin-top:130.8pt;height:0.55pt;width:470.1pt;mso-position-horizontal-relative:page;mso-position-vertical-relative:page;z-index:251658240;mso-width-relative:page;mso-height-relative:page;" filled="f" stroked="t" coordsize="21600,21600" o:gfxdata="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NDU/9cA&#10;AAAMAQAADwAAAAAAAAABACAAAAAiAAAAZHJzL2Rvd25yZXYueG1sUEsBAhQAFAAAAAgAh07iQFcb&#10;nCXnAQAAs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b/>
          <w:sz w:val="20"/>
        </w:rPr>
      </w:pPr>
    </w:p>
    <w:p>
      <w:pPr>
        <w:pStyle w:val="3"/>
        <w:spacing w:before="6"/>
        <w:rPr>
          <w:b/>
          <w:sz w:val="16"/>
        </w:rPr>
      </w:pPr>
    </w:p>
    <w:p>
      <w:pPr>
        <w:spacing w:after="0"/>
        <w:rPr>
          <w:sz w:val="16"/>
        </w:rPr>
        <w:sectPr>
          <w:headerReference r:id="rId3" w:type="default"/>
          <w:type w:val="continuous"/>
          <w:pgSz w:w="11900" w:h="16840"/>
          <w:pgMar w:top="660" w:right="1280" w:bottom="280" w:left="1680" w:header="720" w:footer="720" w:gutter="0"/>
        </w:sectPr>
      </w:pPr>
    </w:p>
    <w:p>
      <w:pPr>
        <w:pStyle w:val="3"/>
        <w:rPr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产品简介：</w:t>
      </w:r>
    </w:p>
    <w:p>
      <w:pPr>
        <w:spacing w:before="19"/>
        <w:ind w:left="352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淀粉样物质染色液(Highman 刚果红法)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280" w:bottom="280" w:left="1680" w:header="720" w:footer="720" w:gutter="0"/>
          <w:cols w:equalWidth="0" w:num="2">
            <w:col w:w="1606" w:space="40"/>
            <w:col w:w="7294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9" w:line="350" w:lineRule="exact"/>
        <w:ind w:left="403" w:right="131" w:firstLine="421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淀粉样物质是一种无固定形状的细胞外嗜酸性物质，可存在于不同的组织、器官，导</w:t>
      </w:r>
      <w:r>
        <w:rPr>
          <w:rFonts w:hint="eastAsia" w:ascii="宋体" w:hAnsi="宋体" w:eastAsia="宋体" w:cs="宋体"/>
          <w:spacing w:val="-17"/>
        </w:rPr>
        <w:t xml:space="preserve">致 </w:t>
      </w:r>
      <w:r>
        <w:rPr>
          <w:rFonts w:hint="eastAsia" w:ascii="宋体" w:hAnsi="宋体" w:eastAsia="宋体" w:cs="宋体"/>
        </w:rPr>
        <w:t>的疾病称为淀粉样变。淀粉样物质主要是由蛋白质构成，该蛋白大部分排列成反向的β-</w:t>
      </w:r>
      <w:r>
        <w:rPr>
          <w:rFonts w:hint="eastAsia" w:ascii="宋体" w:hAnsi="宋体" w:eastAsia="宋体" w:cs="宋体"/>
          <w:spacing w:val="-8"/>
        </w:rPr>
        <w:t>折叠</w:t>
      </w:r>
      <w:r>
        <w:rPr>
          <w:rFonts w:hint="eastAsia" w:ascii="宋体" w:hAnsi="宋体" w:eastAsia="宋体" w:cs="宋体"/>
        </w:rPr>
        <w:t>层结构。在电子显微镜下淀粉样物质呈原纤维排列，病例材料中为大量细胞外的不分支的</w:t>
      </w:r>
      <w:r>
        <w:rPr>
          <w:rFonts w:hint="eastAsia" w:ascii="宋体" w:hAnsi="宋体" w:eastAsia="宋体" w:cs="宋体"/>
          <w:spacing w:val="-16"/>
        </w:rPr>
        <w:t>细</w:t>
      </w:r>
      <w:r>
        <w:rPr>
          <w:rFonts w:hint="eastAsia" w:ascii="宋体" w:hAnsi="宋体" w:eastAsia="宋体" w:cs="宋体"/>
        </w:rPr>
        <w:t>丝，大多随机排列。用于识别淀粉样物质的组织学方法有甲紫染色、刚果红染色、偏振光显微镜观察等。目前研究发现传统的甲紫染色法灵敏度低、特异性差，经典的而且有效的方法 是刚果红染色，1922</w:t>
      </w:r>
      <w:r>
        <w:rPr>
          <w:rFonts w:hint="eastAsia" w:ascii="宋体" w:hAnsi="宋体" w:eastAsia="宋体" w:cs="宋体"/>
          <w:spacing w:val="32"/>
        </w:rPr>
        <w:t xml:space="preserve"> </w:t>
      </w:r>
      <w:r>
        <w:rPr>
          <w:rFonts w:hint="eastAsia" w:ascii="宋体" w:hAnsi="宋体" w:eastAsia="宋体" w:cs="宋体"/>
          <w:spacing w:val="15"/>
        </w:rPr>
        <w:t xml:space="preserve">年 </w:t>
      </w:r>
      <w:r>
        <w:rPr>
          <w:rFonts w:hint="eastAsia" w:ascii="宋体" w:hAnsi="宋体" w:eastAsia="宋体" w:cs="宋体"/>
        </w:rPr>
        <w:t>Bennhold</w:t>
      </w:r>
      <w:r>
        <w:rPr>
          <w:rFonts w:hint="eastAsia" w:ascii="宋体" w:hAnsi="宋体" w:eastAsia="宋体" w:cs="宋体"/>
          <w:spacing w:val="1"/>
        </w:rPr>
        <w:t xml:space="preserve">   </w:t>
      </w:r>
      <w:r>
        <w:rPr>
          <w:rFonts w:hint="eastAsia" w:ascii="宋体" w:hAnsi="宋体" w:eastAsia="宋体" w:cs="宋体"/>
        </w:rPr>
        <w:t>发现了刚果红可以用于活体内淀粉样物质的鉴别，并应</w:t>
      </w:r>
      <w:r>
        <w:rPr>
          <w:rFonts w:hint="eastAsia" w:ascii="宋体" w:hAnsi="宋体" w:eastAsia="宋体" w:cs="宋体"/>
          <w:w w:val="105"/>
        </w:rPr>
        <w:t>用到组织切片。后来</w:t>
      </w:r>
      <w:r>
        <w:rPr>
          <w:rFonts w:hint="eastAsia" w:ascii="宋体" w:hAnsi="宋体" w:eastAsia="宋体" w:cs="宋体"/>
          <w:spacing w:val="-17"/>
          <w:w w:val="105"/>
        </w:rPr>
        <w:t xml:space="preserve">经过 </w:t>
      </w:r>
      <w:r>
        <w:rPr>
          <w:rFonts w:hint="eastAsia" w:ascii="宋体" w:hAnsi="宋体" w:eastAsia="宋体" w:cs="宋体"/>
          <w:w w:val="105"/>
        </w:rPr>
        <w:t>Highman</w:t>
      </w:r>
      <w:r>
        <w:rPr>
          <w:rFonts w:hint="eastAsia" w:ascii="宋体" w:hAnsi="宋体" w:eastAsia="宋体" w:cs="宋体"/>
          <w:spacing w:val="57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改良，染色效果更好。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line="350" w:lineRule="exact"/>
        <w:ind w:left="403" w:right="184" w:firstLine="526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淀粉样物质染色液(Highman</w:t>
      </w:r>
      <w:r>
        <w:rPr>
          <w:rFonts w:hint="eastAsia" w:ascii="宋体" w:hAnsi="宋体" w:eastAsia="宋体" w:cs="宋体"/>
          <w:spacing w:val="59"/>
        </w:rPr>
        <w:t xml:space="preserve"> </w:t>
      </w:r>
      <w:r>
        <w:rPr>
          <w:rFonts w:hint="eastAsia" w:ascii="宋体" w:hAnsi="宋体" w:eastAsia="宋体" w:cs="宋体"/>
        </w:rPr>
        <w:t>刚果红法)主要由刚果红染色液和苏木素染色液组成。该试剂盒简单易行，染色液性能稳定，并且已经被广泛应用。</w:t>
      </w:r>
    </w:p>
    <w:p>
      <w:pPr>
        <w:pStyle w:val="3"/>
        <w:spacing w:before="8"/>
        <w:rPr>
          <w:rFonts w:hint="eastAsia" w:ascii="宋体" w:hAnsi="宋体" w:eastAsia="宋体" w:cs="宋体"/>
          <w:sz w:val="31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产品组成：</w:t>
      </w:r>
    </w:p>
    <w:p>
      <w:pPr>
        <w:pStyle w:val="3"/>
        <w:spacing w:before="8"/>
        <w:rPr>
          <w:rFonts w:ascii="Malgun Gothic"/>
          <w:b/>
          <w:sz w:val="23"/>
        </w:rPr>
      </w:pPr>
    </w:p>
    <w:p>
      <w:pPr>
        <w:spacing w:after="0"/>
        <w:rPr>
          <w:rFonts w:ascii="Malgun Gothic"/>
          <w:sz w:val="23"/>
        </w:rPr>
        <w:sectPr>
          <w:type w:val="continuous"/>
          <w:pgSz w:w="11900" w:h="16840"/>
          <w:pgMar w:top="660" w:right="1280" w:bottom="280" w:left="1680" w:header="720" w:footer="720" w:gutter="0"/>
        </w:sectPr>
      </w:pPr>
    </w:p>
    <w:p>
      <w:pPr>
        <w:pStyle w:val="3"/>
        <w:spacing w:before="16"/>
        <w:rPr>
          <w:rFonts w:ascii="Malgun Gothic"/>
          <w:b/>
          <w:sz w:val="24"/>
        </w:rPr>
      </w:pPr>
    </w:p>
    <w:p>
      <w:pPr>
        <w:spacing w:before="0"/>
        <w:ind w:left="1832" w:right="0" w:firstLine="0"/>
        <w:jc w:val="left"/>
        <w:rPr>
          <w:sz w:val="21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>(A)</w:t>
      </w:r>
      <w:r>
        <w:rPr>
          <w:rFonts w:hint="eastAsia" w:ascii="微软雅黑" w:eastAsia="微软雅黑"/>
          <w:spacing w:val="-1"/>
          <w:sz w:val="19"/>
        </w:rPr>
        <w:t xml:space="preserve">: </w:t>
      </w:r>
      <w:r>
        <w:rPr>
          <w:rFonts w:hint="eastAsia" w:ascii="微软雅黑" w:eastAsia="微软雅黑"/>
          <w:sz w:val="21"/>
        </w:rPr>
        <w:t>Highman</w:t>
      </w:r>
      <w:r>
        <w:rPr>
          <w:rFonts w:hint="eastAsia" w:ascii="微软雅黑" w:eastAsia="微软雅黑"/>
          <w:spacing w:val="55"/>
          <w:sz w:val="21"/>
        </w:rPr>
        <w:t xml:space="preserve"> </w:t>
      </w:r>
      <w:r>
        <w:rPr>
          <w:rFonts w:hint="eastAsia" w:ascii="宋体" w:eastAsia="宋体"/>
          <w:sz w:val="21"/>
        </w:rPr>
        <w:t>刚</w:t>
      </w:r>
      <w:r>
        <w:rPr>
          <w:sz w:val="21"/>
        </w:rPr>
        <w:t>果</w:t>
      </w:r>
      <w:r>
        <w:rPr>
          <w:rFonts w:hint="eastAsia" w:ascii="宋体" w:eastAsia="宋体"/>
          <w:sz w:val="21"/>
        </w:rPr>
        <w:t>红</w:t>
      </w:r>
      <w:r>
        <w:rPr>
          <w:spacing w:val="-4"/>
          <w:sz w:val="21"/>
        </w:rPr>
        <w:t>染色液</w:t>
      </w:r>
    </w:p>
    <w:p>
      <w:pPr>
        <w:spacing w:before="31"/>
        <w:ind w:left="1832" w:right="0" w:firstLine="0"/>
        <w:jc w:val="left"/>
        <w:rPr>
          <w:sz w:val="19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 xml:space="preserve">(B): </w:t>
      </w:r>
      <w:r>
        <w:rPr>
          <w:sz w:val="19"/>
        </w:rPr>
        <w:t>碱性乙醇分化液</w:t>
      </w:r>
    </w:p>
    <w:p>
      <w:pPr>
        <w:spacing w:before="58"/>
        <w:ind w:left="1832" w:right="0" w:firstLine="0"/>
        <w:jc w:val="left"/>
        <w:rPr>
          <w:sz w:val="19"/>
        </w:rPr>
      </w:pPr>
      <w:r>
        <w:rPr>
          <w:rFonts w:hint="eastAsia" w:ascii="宋体" w:eastAsia="宋体"/>
          <w:sz w:val="19"/>
        </w:rPr>
        <w:t>试剂</w:t>
      </w:r>
      <w:r>
        <w:rPr>
          <w:rFonts w:hint="eastAsia" w:ascii="微软雅黑" w:eastAsia="微软雅黑"/>
          <w:sz w:val="19"/>
        </w:rPr>
        <w:t xml:space="preserve">(C): </w:t>
      </w:r>
      <w:r>
        <w:rPr>
          <w:rFonts w:hint="eastAsia" w:ascii="宋体" w:eastAsia="宋体"/>
          <w:sz w:val="19"/>
        </w:rPr>
        <w:t>苏</w:t>
      </w:r>
      <w:r>
        <w:rPr>
          <w:sz w:val="19"/>
        </w:rPr>
        <w:t>木素染色液</w:t>
      </w:r>
    </w:p>
    <w:p>
      <w:pPr>
        <w:spacing w:before="51" w:line="285" w:lineRule="auto"/>
        <w:ind w:left="676" w:right="-19" w:hanging="136"/>
        <w:jc w:val="left"/>
        <w:rPr>
          <w:rFonts w:ascii="微软雅黑" w:hAnsi="微软雅黑"/>
          <w:sz w:val="19"/>
        </w:rPr>
      </w:pPr>
      <w:r>
        <w:br w:type="column"/>
      </w:r>
      <w:r>
        <w:rPr>
          <w:rFonts w:ascii="微软雅黑" w:hAnsi="微软雅黑"/>
          <w:sz w:val="19"/>
        </w:rPr>
        <w:t>3×50ml 50ml 50ml 50ml</w:t>
      </w:r>
    </w:p>
    <w:p>
      <w:pPr>
        <w:pStyle w:val="3"/>
        <w:spacing w:before="16"/>
        <w:rPr>
          <w:rFonts w:ascii="微软雅黑"/>
          <w:sz w:val="25"/>
        </w:rPr>
      </w:pPr>
      <w:r>
        <w:br w:type="column"/>
      </w:r>
    </w:p>
    <w:p>
      <w:pPr>
        <w:spacing w:before="1" w:line="273" w:lineRule="auto"/>
        <w:ind w:left="248" w:right="1695" w:firstLine="0"/>
        <w:jc w:val="both"/>
        <w:rPr>
          <w:sz w:val="19"/>
        </w:rPr>
      </w:pPr>
      <w:r>
        <w:rPr>
          <w:rFonts w:hint="eastAsia" w:ascii="微软雅黑" w:eastAsia="微软雅黑"/>
          <w:sz w:val="19"/>
        </w:rPr>
        <w:t xml:space="preserve">RT </w:t>
      </w:r>
      <w:r>
        <w:rPr>
          <w:spacing w:val="-6"/>
          <w:sz w:val="19"/>
        </w:rPr>
        <w:t>避 光</w:t>
      </w:r>
      <w:r>
        <w:rPr>
          <w:rFonts w:hint="eastAsia" w:ascii="微软雅黑" w:eastAsia="微软雅黑"/>
          <w:sz w:val="19"/>
        </w:rPr>
        <w:t xml:space="preserve">RT </w:t>
      </w:r>
      <w:r>
        <w:rPr>
          <w:sz w:val="19"/>
        </w:rPr>
        <w:t xml:space="preserve">密 </w:t>
      </w:r>
      <w:r>
        <w:rPr>
          <w:rFonts w:hint="eastAsia" w:ascii="宋体" w:eastAsia="宋体"/>
          <w:spacing w:val="-16"/>
          <w:sz w:val="19"/>
        </w:rPr>
        <w:t>闭</w:t>
      </w:r>
      <w:r>
        <w:rPr>
          <w:rFonts w:hint="eastAsia" w:ascii="微软雅黑" w:eastAsia="微软雅黑"/>
          <w:sz w:val="19"/>
        </w:rPr>
        <w:t xml:space="preserve">RT </w:t>
      </w:r>
      <w:r>
        <w:rPr>
          <w:spacing w:val="-6"/>
          <w:sz w:val="19"/>
        </w:rPr>
        <w:t>避 光</w:t>
      </w:r>
    </w:p>
    <w:p>
      <w:pPr>
        <w:spacing w:after="0" w:line="273" w:lineRule="auto"/>
        <w:jc w:val="both"/>
        <w:rPr>
          <w:sz w:val="19"/>
        </w:rPr>
        <w:sectPr>
          <w:type w:val="continuous"/>
          <w:pgSz w:w="11900" w:h="16840"/>
          <w:pgMar w:top="660" w:right="1280" w:bottom="280" w:left="1680" w:header="720" w:footer="720" w:gutter="0"/>
          <w:cols w:equalWidth="0" w:num="3">
            <w:col w:w="4946" w:space="40"/>
            <w:col w:w="1245" w:space="39"/>
            <w:col w:w="2670"/>
          </w:cols>
        </w:sect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自备材料：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  <w:sz w:val="19"/>
        </w:rPr>
        <w:t>1</w:t>
      </w:r>
      <w:r>
        <w:rPr>
          <w:rFonts w:hint="eastAsia" w:ascii="宋体" w:hAnsi="宋体" w:eastAsia="宋体" w:cs="宋体"/>
          <w:w w:val="130"/>
          <w:sz w:val="19"/>
        </w:rPr>
        <w:t>、</w:t>
      </w:r>
      <w:r>
        <w:rPr>
          <w:rFonts w:hint="eastAsia" w:ascii="宋体" w:hAnsi="宋体" w:eastAsia="宋体" w:cs="宋体"/>
          <w:w w:val="105"/>
        </w:rPr>
        <w:t>10%中性福尔马林固定液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10"/>
          <w:sz w:val="19"/>
        </w:rPr>
        <w:t>2</w:t>
      </w: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、蒸馏水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6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3、系列乙醇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textAlignment w:val="auto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操作步骤</w:t>
      </w:r>
      <w:r>
        <w:rPr>
          <w:rFonts w:hint="eastAsia" w:ascii="宋体" w:hAnsi="宋体" w:eastAsia="宋体" w:cs="宋体"/>
          <w:sz w:val="21"/>
        </w:rPr>
        <w:t>(仅供参考)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1、常规固定，常采用 10%的中性福尔马林，常规脱水包埋。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</w:rPr>
        <w:t>2、</w:t>
      </w: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石蜡切片脱蜡入蒸馏水；冰冻切片直接入蒸馏水。如有必要，可以去除色素。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3、入 Highman 刚果红染色液，浸染 5～10min。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4、碱性乙醇分化 3～10s，立即入水终止分化。 自来水冲洗。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6、入苏木素染色液， 染细胞核 1～2min。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7、自来水稍微冲洗，更换蒸馏水清洗，使其分化、返蓝。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8、逐级常规乙醇脱水。二甲苯透明，中性树胶封固。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5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50" w:lineRule="exact"/>
        <w:ind w:left="0" w:right="402" w:firstLine="0"/>
        <w:jc w:val="center"/>
        <w:textAlignment w:val="auto"/>
        <w:rPr>
          <w:rFonts w:hint="eastAsia" w:ascii="宋体" w:hAnsi="宋体" w:eastAsia="宋体" w:cs="宋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center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128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50" w:lineRule="exact"/>
        <w:textAlignment w:val="auto"/>
        <w:rPr>
          <w:rFonts w:hint="eastAsia" w:ascii="宋体" w:hAnsi="宋体" w:eastAsia="宋体" w:cs="宋体"/>
          <w:b/>
          <w:sz w:val="1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染色结果：</w:t>
      </w:r>
    </w:p>
    <w:p>
      <w:pPr>
        <w:pStyle w:val="3"/>
        <w:tabs>
          <w:tab w:val="left" w:pos="4745"/>
        </w:tabs>
        <w:spacing w:before="88"/>
        <w:ind w:left="1141"/>
      </w:pPr>
      <w:r>
        <w:rPr>
          <w:rFonts w:hint="eastAsia" w:ascii="宋体" w:hAnsi="宋体" w:eastAsia="宋体" w:cs="宋体"/>
          <w:w w:val="105"/>
        </w:rPr>
        <w:t>淀粉样物质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弹力纤维、嗜伊红颗粒</w:t>
      </w:r>
      <w:r>
        <w:rPr>
          <w:w w:val="105"/>
        </w:rPr>
        <w:tab/>
      </w:r>
      <w:r>
        <w:rPr>
          <w:rFonts w:hint="eastAsia" w:ascii="宋体" w:eastAsia="宋体"/>
        </w:rPr>
        <w:t>红</w:t>
      </w:r>
      <w:r>
        <w:t>色</w:t>
      </w:r>
    </w:p>
    <w:p>
      <w:pPr>
        <w:pStyle w:val="3"/>
        <w:tabs>
          <w:tab w:val="left" w:pos="4745"/>
        </w:tabs>
        <w:spacing w:before="106"/>
        <w:ind w:left="1141"/>
      </w:pPr>
      <w:r>
        <w:rPr>
          <w:rFonts w:hint="eastAsia" w:ascii="宋体" w:eastAsia="宋体"/>
        </w:rPr>
        <w:t>细</w:t>
      </w:r>
      <w:r>
        <w:t>胞核</w:t>
      </w:r>
      <w:r>
        <w:tab/>
      </w:r>
      <w:r>
        <w:rPr>
          <w:rFonts w:hint="eastAsia" w:ascii="宋体" w:eastAsia="宋体"/>
          <w:position w:val="3"/>
        </w:rPr>
        <w:t>蓝</w:t>
      </w:r>
      <w:r>
        <w:rPr>
          <w:position w:val="3"/>
        </w:rPr>
        <w:t>色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5"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1、切片脱蜡应尽量干净，否则影响染色效果。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</w:rPr>
        <w:t>2</w:t>
      </w:r>
      <w:r>
        <w:rPr>
          <w:rFonts w:hint="eastAsia" w:ascii="宋体" w:hAnsi="宋体" w:eastAsia="宋体" w:cs="宋体"/>
          <w:w w:val="130"/>
          <w:sz w:val="21"/>
        </w:rPr>
        <w:t>、</w:t>
      </w: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碱性乙醇分化液 应密闭保存，一旦开启尽快用完。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50" w:lineRule="exact"/>
        <w:ind w:left="765" w:right="219" w:hanging="360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3、分化时间应该根据切片厚薄、组织类别和分化液的新旧而定，另外分化后自来水冲洗时间应该足够。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4、碱性乙醇分化液分化步骤很重要，应及时入水终止分化，防止分化过度。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w w:val="105"/>
          <w:sz w:val="21"/>
          <w:szCs w:val="21"/>
          <w:lang w:val="zh-CN" w:eastAsia="zh-CN" w:bidi="zh-CN"/>
        </w:rPr>
        <w:t>5、为了您的安全和健康，请穿实验服并戴一次性手套操作。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50" w:lineRule="exact"/>
        <w:textAlignment w:val="auto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40"/>
      <w:pgMar w:top="1600" w:right="12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199816" o:spid="_x0000_s2050" o:spt="136" type="#_x0000_t136" style="position:absolute;left:0pt;height:70.6pt;width:561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3774440</wp:posOffset>
              </wp:positionH>
              <wp:positionV relativeFrom="paragraph">
                <wp:posOffset>-11430</wp:posOffset>
              </wp:positionV>
              <wp:extent cx="1885315" cy="904875"/>
              <wp:effectExtent l="0" t="0" r="635" b="952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64430" y="458470"/>
                        <a:ext cx="188531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pt;margin-top:-0.9pt;height:71.25pt;width:148.45pt;z-index:251658240;mso-width-relative:page;mso-height-relative:page;" fillcolor="#FFFFFF" filled="t" stroked="f" coordsize="21600,21600" o:gfxdata="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1qdvA2AAAAAoBAAAPAAAAAAAAAAEAIAAAACIAAABkcnMvZG93&#10;bnJldi54bWxQSwECFAAUAAAACACHTuJAHBnAXscBAABUAwAADgAAAAAAAAABACAAAAAn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05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2019-04-30T05:56:00Z</dcterms:created>
  <dc:creator>94099</dc:creator>
  <cp:lastModifiedBy>Cute  princess</cp:lastModifiedBy>
  <dcterms:modified xsi:type="dcterms:W3CDTF">2019-04-30T06:07:58Z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2019-04-30T00:00:00Z</vt:filetime>
  </property>
  <property fmtid="{D5CDD505-2E9C-101B-9397-08002B2CF9AE}" pid="5" name="KSOProductBuildVer">
    <vt:lpwstr>2052-11.1.0.8612</vt:lpwstr>
  </property>
</Properties>
</file>