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  <w:bookmarkStart w:id="0" w:name="_GoBack"/>
      <w:bookmarkEnd w:id="0"/>
    </w:p>
    <w:p>
      <w:pPr>
        <w:pStyle w:val="3"/>
        <w:spacing w:before="11"/>
        <w:rPr>
          <w:b/>
          <w:sz w:val="18"/>
        </w:rPr>
      </w:pPr>
    </w:p>
    <w:p>
      <w:pPr>
        <w:spacing w:after="0"/>
        <w:rPr>
          <w:sz w:val="18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3"/>
        <w:spacing w:before="8"/>
        <w:rPr>
          <w:b/>
          <w:sz w:val="2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瑞氏染色液(Wright Stain,即用型)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457"/>
            <w:col w:w="70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瑞氏色素是酸性染料伊红(Eosin)和碱性染料亚甲蓝(Methylene Blue)组成的复合染料,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对原生质的染色有很好的区别作用。各种细胞成分化学性质不同，对各种染料的亲和力也不   一样，如血红蛋白、嗜酸性颗粒为碱性蛋白质，与酸性染料伊红结合，染粉红色，称为嗜酸性物质；细胞核蛋白、淋巴细胞、嗜碱性粒细胞胞质为酸性，与碱性染料结合后，染紫蓝色或蓝色，称为嗜碱性物质；中性颗粒呈等电状态与伊红和美蓝均可结合，染淡紫红色，称为嗜中性物质。原始红细胞、早幼红细胞胞质、核仁含较多酸性物质，染成较浓厚的蓝色；中幼红细胞既含酸性物质，又含碱性物质，染成红蓝色或灰红色；完全成熟红细胞，酸性物质彻底消失后，染成粉红色。瑞氏染液为蓝色澄明液体，有甲醇特异香味，主要由美蓝、伊红、甲醇等组成，其中甲醇的作用是溶解美蓝和伊红以及固定细胞形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Wright Stain 以进口瑞氏色素为主要原料，通过研磨配制而成，能呈现出清晰的细胞染色效果。该染液的特点：由高浓度瑞氏色素、衬色剂组成，不含磷酸盐缓冲液，直接使用，染液中加微量中性甘油，防止甲醇挥发或氧化，同时也可使血细胞染色较清晰。</w:t>
      </w:r>
      <w:r>
        <w:rPr>
          <w:rFonts w:hint="eastAsia" w:ascii="宋体" w:hAnsi="宋体" w:eastAsia="宋体" w:cs="宋体"/>
        </w:rPr>
        <w:t>经常用于血液和细胞涂片、骨髓细胞涂片、细菌染色。细胞质呈红色，细胞核及细菌呈蓝色，嗜酸性颗粒呈橘红色。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15"/>
        <w:rPr>
          <w:rFonts w:ascii="Malgun Gothic"/>
          <w:b/>
        </w:rPr>
      </w:pPr>
    </w:p>
    <w:p>
      <w:pPr>
        <w:pStyle w:val="3"/>
        <w:tabs>
          <w:tab w:val="left" w:pos="3168"/>
          <w:tab w:val="left" w:pos="4324"/>
          <w:tab w:val="left" w:pos="5360"/>
        </w:tabs>
        <w:spacing w:before="1"/>
        <w:ind w:right="251"/>
        <w:jc w:val="center"/>
      </w:pPr>
      <w:r>
        <w:rPr>
          <w:rFonts w:hint="eastAsia" w:ascii="微软雅黑" w:eastAsia="微软雅黑"/>
        </w:rPr>
        <w:t>Wright</w:t>
      </w:r>
      <w:r>
        <w:rPr>
          <w:rFonts w:hint="eastAsia" w:ascii="微软雅黑" w:eastAsia="微软雅黑"/>
          <w:spacing w:val="-3"/>
        </w:rPr>
        <w:t xml:space="preserve"> </w:t>
      </w:r>
      <w:r>
        <w:rPr>
          <w:rFonts w:hint="eastAsia" w:ascii="微软雅黑" w:eastAsia="微软雅黑"/>
        </w:rPr>
        <w:t>Stain(</w:t>
      </w:r>
      <w:r>
        <w:t>即用型</w:t>
      </w:r>
      <w:r>
        <w:rPr>
          <w:rFonts w:hint="eastAsia" w:ascii="微软雅黑" w:eastAsia="微软雅黑"/>
        </w:rPr>
        <w:t>)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100ml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500ml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3"/>
        </w:rPr>
        <w:t xml:space="preserve"> </w:t>
      </w:r>
      <w:r>
        <w:t>避 光</w:t>
      </w:r>
    </w:p>
    <w:p>
      <w:pPr>
        <w:pStyle w:val="3"/>
        <w:rPr>
          <w:sz w:val="28"/>
        </w:rPr>
      </w:pPr>
    </w:p>
    <w:p>
      <w:pPr>
        <w:pStyle w:val="3"/>
        <w:spacing w:before="12"/>
        <w:rPr>
          <w:sz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载玻片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染色架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1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1、常规方法制备血液涂片或骨髓涂片或细菌涂片，待涂片自然干燥。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2、将血液涂片或骨髓涂片置于染色架上。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16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765" w:right="15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9"/>
          <w:w w:val="105"/>
        </w:rPr>
        <w:t xml:space="preserve">、滴加 </w:t>
      </w:r>
      <w:r>
        <w:rPr>
          <w:rFonts w:hint="eastAsia" w:ascii="宋体" w:hAnsi="宋体" w:eastAsia="宋体" w:cs="宋体"/>
          <w:w w:val="105"/>
        </w:rPr>
        <w:t xml:space="preserve">Wright Stain </w:t>
      </w:r>
      <w:r>
        <w:rPr>
          <w:rFonts w:hint="eastAsia" w:ascii="宋体" w:hAnsi="宋体" w:eastAsia="宋体" w:cs="宋体"/>
          <w:spacing w:val="-4"/>
          <w:w w:val="105"/>
        </w:rPr>
        <w:t xml:space="preserve">覆盖涂片，室温染色 </w:t>
      </w:r>
      <w:r>
        <w:rPr>
          <w:rFonts w:hint="eastAsia" w:ascii="宋体" w:hAnsi="宋体" w:eastAsia="宋体" w:cs="宋体"/>
          <w:w w:val="105"/>
        </w:rPr>
        <w:t xml:space="preserve">1～2min，轻轻晃动玻片或采用其他方式混合， </w:t>
      </w:r>
      <w:r>
        <w:rPr>
          <w:rFonts w:hint="eastAsia" w:ascii="宋体" w:hAnsi="宋体" w:eastAsia="宋体" w:cs="宋体"/>
          <w:spacing w:val="-2"/>
          <w:w w:val="105"/>
        </w:rPr>
        <w:t xml:space="preserve">室温静置 </w:t>
      </w:r>
      <w:r>
        <w:rPr>
          <w:rFonts w:hint="eastAsia" w:ascii="宋体" w:hAnsi="宋体" w:eastAsia="宋体" w:cs="宋体"/>
          <w:w w:val="105"/>
        </w:rPr>
        <w:t>3～10min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4、用自来水或蒸馏水从玻片一端轻轻冲洗。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5、干燥。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镜检：先用低倍镜观察血涂片，再用油镜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tabs>
          <w:tab w:val="left" w:pos="4565"/>
        </w:tabs>
        <w:spacing w:before="88"/>
        <w:ind w:left="1382"/>
      </w:pPr>
      <w:r>
        <w:rPr>
          <w:rFonts w:hint="eastAsia" w:ascii="宋体" w:eastAsia="宋体"/>
          <w:w w:val="105"/>
        </w:rPr>
        <w:t>细</w:t>
      </w:r>
      <w:r>
        <w:rPr>
          <w:w w:val="105"/>
        </w:rPr>
        <w:t>菌、</w:t>
      </w: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胞核</w:t>
      </w:r>
      <w:r>
        <w:rPr>
          <w:w w:val="105"/>
        </w:rPr>
        <w:tab/>
      </w:r>
      <w:r>
        <w:rPr>
          <w:rFonts w:hint="eastAsia" w:ascii="宋体" w:eastAsia="宋体"/>
          <w:w w:val="105"/>
        </w:rPr>
        <w:t>蓝</w:t>
      </w:r>
      <w:r>
        <w:rPr>
          <w:w w:val="105"/>
        </w:rPr>
        <w:t>色</w:t>
      </w:r>
    </w:p>
    <w:p>
      <w:pPr>
        <w:pStyle w:val="3"/>
        <w:tabs>
          <w:tab w:val="left" w:pos="4565"/>
        </w:tabs>
        <w:spacing w:before="136"/>
        <w:ind w:left="1382"/>
      </w:pPr>
      <w:r>
        <w:t>嗜酸性</w:t>
      </w:r>
      <w:r>
        <w:rPr>
          <w:rFonts w:hint="eastAsia" w:ascii="宋体" w:eastAsia="宋体"/>
        </w:rPr>
        <w:t>颗</w:t>
      </w:r>
      <w:r>
        <w:t>粒</w:t>
      </w:r>
      <w:r>
        <w:tab/>
      </w:r>
      <w:r>
        <w:t>粉</w:t>
      </w:r>
      <w:r>
        <w:rPr>
          <w:rFonts w:hint="eastAsia" w:ascii="宋体" w:eastAsia="宋体"/>
        </w:rPr>
        <w:t>红</w:t>
      </w:r>
      <w:r>
        <w:t>或橘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/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3"/>
        <w:spacing w:before="137" w:line="350" w:lineRule="auto"/>
        <w:ind w:left="1382"/>
      </w:pPr>
      <w:r>
        <w:t>淋巴</w:t>
      </w:r>
      <w:r>
        <w:rPr>
          <w:rFonts w:hint="eastAsia" w:ascii="宋体" w:eastAsia="宋体"/>
        </w:rPr>
        <w:t>细</w:t>
      </w:r>
      <w:r>
        <w:t>胞、嗜碱性粒</w:t>
      </w:r>
      <w:r>
        <w:rPr>
          <w:rFonts w:hint="eastAsia" w:ascii="宋体" w:eastAsia="宋体"/>
        </w:rPr>
        <w:t>细</w:t>
      </w:r>
      <w:r>
        <w:t>胞胞</w:t>
      </w:r>
      <w:r>
        <w:rPr>
          <w:rFonts w:hint="eastAsia" w:ascii="宋体" w:eastAsia="宋体"/>
        </w:rPr>
        <w:t>质</w:t>
      </w:r>
      <w:r>
        <w:t>完全成熟</w:t>
      </w:r>
      <w:r>
        <w:rPr>
          <w:rFonts w:hint="eastAsia" w:ascii="宋体" w:eastAsia="宋体"/>
        </w:rPr>
        <w:t>红细</w:t>
      </w:r>
      <w:r>
        <w:t>胞</w:t>
      </w:r>
    </w:p>
    <w:p>
      <w:pPr>
        <w:pStyle w:val="3"/>
        <w:spacing w:before="111" w:line="372" w:lineRule="auto"/>
        <w:ind w:left="413" w:right="3292"/>
      </w:pPr>
      <w:r>
        <w:br w:type="column"/>
      </w:r>
      <w:r>
        <w:t>紫</w:t>
      </w:r>
      <w:r>
        <w:rPr>
          <w:rFonts w:hint="eastAsia" w:ascii="宋体" w:eastAsia="宋体"/>
        </w:rPr>
        <w:t>蓝</w:t>
      </w:r>
      <w:r>
        <w:t>色或</w:t>
      </w:r>
      <w:r>
        <w:rPr>
          <w:rFonts w:hint="eastAsia" w:ascii="宋体" w:eastAsia="宋体"/>
        </w:rPr>
        <w:t>蓝</w:t>
      </w:r>
      <w:r>
        <w:t>色粉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 w:line="372" w:lineRule="auto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4113" w:space="40"/>
            <w:col w:w="4967"/>
          </w:cols>
        </w:sectPr>
      </w:pPr>
    </w:p>
    <w:p>
      <w:pPr>
        <w:pStyle w:val="3"/>
        <w:spacing w:before="6"/>
        <w:rPr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</w:t>
      </w:r>
      <w:r>
        <w:rPr>
          <w:rFonts w:hint="eastAsia" w:ascii="宋体" w:hAnsi="宋体" w:eastAsia="宋体" w:cs="宋体"/>
        </w:rPr>
        <w:t>血液涂片或骨髓涂片应厚薄均匀，以免影响染色效果。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2、涂片染色中，请勿先去除染液或直接对涂片用力冲洗。不能先倒掉染液，以免染料沉着  于涂片上。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3、染色液可重复使用，但不能多次重复，若有沉淀物应过滤后使用。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4、染色过深可用甲醇或酒精适当脱色，最好不复染。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5、如果染色过深或过浅，应调整染色时间或工作液浓度。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6、pH 值对染色有一定影响，载玻片应清洁、无酸碱污染，以免影响染色效果。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8469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-8890</wp:posOffset>
              </wp:positionV>
              <wp:extent cx="1852930" cy="883285"/>
              <wp:effectExtent l="0" t="0" r="13970" b="1206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12055" y="461010"/>
                        <a:ext cx="1852930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0.65pt;margin-top:-0.7pt;height:69.55pt;width:145.9pt;z-index:251658240;mso-width-relative:page;mso-height-relative:page;" fillcolor="#FFFFFF" filled="t" stroked="f" coordsize="21600,21600" o:gfxdata="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JWVjtgAAAAKAQAADwAAAAAAAAABACAAAAAiAAAAZHJzL2Rvd25y&#10;ZXYueG1sUEsBAhQAFAAAAAgAh07iQFqdmmP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70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2019-06-11T02:05:00Z</dcterms:created>
  <dc:creator>94099</dc:creator>
  <cp:lastModifiedBy>Cute  princess</cp:lastModifiedBy>
  <dcterms:modified xsi:type="dcterms:W3CDTF">2019-06-11T02:11:34Z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2019-06-11T00:00:00Z</vt:filetime>
  </property>
  <property fmtid="{D5CDD505-2E9C-101B-9397-08002B2CF9AE}" pid="5" name="KSOProductBuildVer">
    <vt:lpwstr>2052-11.1.0.8696</vt:lpwstr>
  </property>
</Properties>
</file>