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抗酸染色液(Ziehl-Neelsen 热染法)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247"/>
            <w:col w:w="71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5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分枝杆菌的细胞壁内含有大量脂质包围在肽聚糖的外面</w:t>
      </w:r>
      <w:r>
        <w:rPr>
          <w:rFonts w:hint="eastAsia" w:ascii="宋体" w:hAnsi="宋体" w:eastAsia="宋体" w:cs="宋体"/>
          <w:spacing w:val="26"/>
        </w:rPr>
        <w:t xml:space="preserve">, </w:t>
      </w:r>
      <w:r>
        <w:rPr>
          <w:rFonts w:hint="eastAsia" w:ascii="宋体" w:hAnsi="宋体" w:eastAsia="宋体" w:cs="宋体"/>
        </w:rPr>
        <w:t>所以分枝杆菌一般不易着色。分枝杆菌中的分枝菌酸与染料一旦结合后，就很难被酸性脱色液脱色，故名抗酸染色。</w:t>
      </w:r>
      <w:r>
        <w:rPr>
          <w:rFonts w:hint="eastAsia" w:ascii="宋体" w:hAnsi="宋体" w:eastAsia="宋体" w:cs="宋体"/>
          <w:spacing w:val="-10"/>
        </w:rPr>
        <w:t xml:space="preserve">传统 </w:t>
      </w:r>
      <w:r>
        <w:rPr>
          <w:rFonts w:hint="eastAsia" w:ascii="宋体" w:hAnsi="宋体" w:eastAsia="宋体" w:cs="宋体"/>
        </w:rPr>
        <w:t>的染色方法要经过加热和延长染色时间来促使其着色，其中最具代表性的是结</w:t>
      </w:r>
      <w:r>
        <w:rPr>
          <w:rFonts w:hint="eastAsia" w:ascii="宋体" w:hAnsi="宋体" w:eastAsia="宋体" w:cs="宋体"/>
          <w:spacing w:val="12"/>
        </w:rPr>
        <w:t xml:space="preserve">核杆菌 </w:t>
      </w:r>
      <w:r>
        <w:rPr>
          <w:rFonts w:hint="eastAsia" w:ascii="宋体" w:hAnsi="宋体" w:eastAsia="宋体" w:cs="宋体"/>
        </w:rPr>
        <w:t>Ziehl－Neelsen 染色法，该法是 WHO 和中国结核病防治规划中推荐的热染方法。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40" w:leftChars="0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抗酸染色液(Ziehl－Neelsen 热染法)属于热染色液，其染色原理是在加热条件下，分枝菌酸与复红结合成复合物，经亚甲蓝复染后，分枝杆菌仍然为红色，而其他细</w:t>
      </w:r>
      <w:r>
        <w:rPr>
          <w:rFonts w:hint="eastAsia" w:ascii="宋体" w:hAnsi="宋体" w:eastAsia="宋体" w:cs="宋体"/>
          <w:spacing w:val="-19"/>
        </w:rPr>
        <w:t xml:space="preserve">菌   </w:t>
      </w:r>
      <w:r>
        <w:rPr>
          <w:rFonts w:hint="eastAsia" w:ascii="宋体" w:hAnsi="宋体" w:eastAsia="宋体" w:cs="宋体"/>
          <w:w w:val="105"/>
        </w:rPr>
        <w:t>及背景中的物质为蓝色。该试剂盒更适用于冷染法效果不佳的情况。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4"/>
        <w:rPr>
          <w:rFonts w:ascii="Malgun Gothic"/>
          <w:b/>
          <w:sz w:val="28"/>
        </w:rPr>
      </w:pPr>
    </w:p>
    <w:tbl>
      <w:tblPr>
        <w:tblStyle w:val="6"/>
        <w:tblW w:w="6832" w:type="dxa"/>
        <w:tblInd w:w="1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1245"/>
        <w:gridCol w:w="1006"/>
        <w:gridCol w:w="1144"/>
        <w:gridCol w:w="470"/>
        <w:gridCol w:w="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435" w:type="dxa"/>
          </w:tcPr>
          <w:p>
            <w:pPr>
              <w:pStyle w:val="11"/>
              <w:spacing w:before="5"/>
              <w:rPr>
                <w:rFonts w:ascii="Malgun Gothic"/>
                <w:b/>
                <w:sz w:val="19"/>
              </w:rPr>
            </w:pPr>
          </w:p>
          <w:p>
            <w:pPr>
              <w:pStyle w:val="11"/>
              <w:spacing w:line="375" w:lineRule="exact"/>
              <w:ind w:left="50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Ziehl</w:t>
            </w:r>
            <w:r>
              <w:rPr>
                <w:rFonts w:hint="eastAsia" w:ascii="MS UI Gothic" w:eastAsia="MS UI Gothic"/>
                <w:sz w:val="21"/>
              </w:rPr>
              <w:t>－</w:t>
            </w:r>
            <w:r>
              <w:rPr>
                <w:sz w:val="21"/>
              </w:rPr>
              <w:t>Neelsen</w:t>
            </w:r>
          </w:p>
        </w:tc>
        <w:tc>
          <w:tcPr>
            <w:tcW w:w="1245" w:type="dxa"/>
          </w:tcPr>
          <w:p>
            <w:pPr>
              <w:pStyle w:val="11"/>
              <w:spacing w:before="17"/>
              <w:rPr>
                <w:rFonts w:ascii="Malgun Gothic"/>
                <w:b/>
                <w:sz w:val="22"/>
              </w:rPr>
            </w:pPr>
          </w:p>
          <w:p>
            <w:pPr>
              <w:pStyle w:val="11"/>
              <w:spacing w:before="1"/>
              <w:ind w:left="71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复红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006" w:type="dxa"/>
          </w:tcPr>
          <w:p>
            <w:pPr>
              <w:pStyle w:val="11"/>
              <w:spacing w:line="300" w:lineRule="exact"/>
              <w:ind w:left="124"/>
              <w:rPr>
                <w:sz w:val="19"/>
              </w:rPr>
            </w:pPr>
            <w:r>
              <w:rPr>
                <w:sz w:val="19"/>
              </w:rPr>
              <w:t>3×50ml</w:t>
            </w:r>
          </w:p>
          <w:p>
            <w:pPr>
              <w:pStyle w:val="11"/>
              <w:spacing w:before="28"/>
              <w:ind w:left="244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44" w:type="dxa"/>
          </w:tcPr>
          <w:p>
            <w:pPr>
              <w:pStyle w:val="11"/>
              <w:spacing w:line="345" w:lineRule="exact"/>
              <w:ind w:left="178"/>
              <w:rPr>
                <w:sz w:val="19"/>
              </w:rPr>
            </w:pPr>
            <w:r>
              <w:rPr>
                <w:sz w:val="19"/>
              </w:rPr>
              <w:t>3×100ml</w:t>
            </w:r>
          </w:p>
          <w:p>
            <w:pPr>
              <w:pStyle w:val="11"/>
              <w:spacing w:before="28" w:line="351" w:lineRule="exact"/>
              <w:ind w:left="298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470" w:type="dxa"/>
          </w:tcPr>
          <w:p>
            <w:pPr>
              <w:pStyle w:val="11"/>
              <w:spacing w:before="5"/>
              <w:rPr>
                <w:rFonts w:ascii="Malgun Gothic"/>
                <w:b/>
                <w:sz w:val="19"/>
              </w:rPr>
            </w:pPr>
          </w:p>
          <w:p>
            <w:pPr>
              <w:pStyle w:val="11"/>
              <w:spacing w:line="375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spacing w:before="17"/>
              <w:rPr>
                <w:rFonts w:ascii="Malgun Gothic"/>
                <w:b/>
                <w:sz w:val="22"/>
              </w:rPr>
            </w:pPr>
          </w:p>
          <w:p>
            <w:pPr>
              <w:pStyle w:val="11"/>
              <w:spacing w:before="1"/>
              <w:ind w:left="43" w:right="29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435" w:type="dxa"/>
          </w:tcPr>
          <w:p>
            <w:pPr>
              <w:pStyle w:val="11"/>
              <w:spacing w:line="371" w:lineRule="exact"/>
              <w:ind w:left="50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 Ziehl</w:t>
            </w:r>
            <w:r>
              <w:rPr>
                <w:rFonts w:hint="eastAsia" w:ascii="MS UI Gothic" w:eastAsia="MS UI Gothic"/>
                <w:sz w:val="21"/>
              </w:rPr>
              <w:t>－</w:t>
            </w:r>
            <w:r>
              <w:rPr>
                <w:sz w:val="21"/>
              </w:rPr>
              <w:t>Neelsen</w:t>
            </w:r>
          </w:p>
        </w:tc>
        <w:tc>
          <w:tcPr>
            <w:tcW w:w="1245" w:type="dxa"/>
          </w:tcPr>
          <w:p>
            <w:pPr>
              <w:pStyle w:val="11"/>
              <w:spacing w:before="51"/>
              <w:ind w:left="55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脱色液</w:t>
            </w:r>
          </w:p>
        </w:tc>
        <w:tc>
          <w:tcPr>
            <w:tcW w:w="1006" w:type="dxa"/>
          </w:tcPr>
          <w:p>
            <w:pPr>
              <w:pStyle w:val="11"/>
              <w:spacing w:before="9" w:line="381" w:lineRule="exact"/>
              <w:ind w:left="226" w:right="241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44" w:type="dxa"/>
          </w:tcPr>
          <w:p>
            <w:pPr>
              <w:pStyle w:val="11"/>
              <w:spacing w:before="34" w:line="357" w:lineRule="exact"/>
              <w:ind w:right="221"/>
              <w:jc w:val="right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470" w:type="dxa"/>
          </w:tcPr>
          <w:p>
            <w:pPr>
              <w:pStyle w:val="11"/>
              <w:spacing w:line="371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35" w:type="dxa"/>
          </w:tcPr>
          <w:p>
            <w:pPr>
              <w:pStyle w:val="11"/>
              <w:spacing w:line="352" w:lineRule="exact"/>
              <w:ind w:left="5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(C): </w:t>
            </w:r>
            <w:r>
              <w:rPr>
                <w:rFonts w:hint="eastAsia" w:ascii="宋体" w:eastAsia="宋体"/>
                <w:sz w:val="21"/>
              </w:rPr>
              <w:t>亚</w:t>
            </w:r>
            <w:r>
              <w:rPr>
                <w:rFonts w:hint="eastAsia" w:ascii="MS UI Gothic" w:eastAsia="MS UI Gothic"/>
                <w:sz w:val="21"/>
              </w:rPr>
              <w:t>甲</w:t>
            </w:r>
            <w:r>
              <w:rPr>
                <w:rFonts w:hint="eastAsia" w:ascii="宋体" w:eastAsia="宋体"/>
                <w:sz w:val="21"/>
              </w:rPr>
              <w:t>蓝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2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1"/>
              <w:spacing w:before="18" w:line="334" w:lineRule="exact"/>
              <w:ind w:left="226" w:right="241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44" w:type="dxa"/>
          </w:tcPr>
          <w:p>
            <w:pPr>
              <w:pStyle w:val="11"/>
              <w:spacing w:before="40" w:line="312" w:lineRule="exact"/>
              <w:ind w:right="221"/>
              <w:jc w:val="right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470" w:type="dxa"/>
          </w:tcPr>
          <w:p>
            <w:pPr>
              <w:pStyle w:val="11"/>
              <w:spacing w:before="18" w:line="334" w:lineRule="exact"/>
              <w:ind w:right="58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spacing w:before="85" w:line="266" w:lineRule="exact"/>
              <w:ind w:left="43" w:right="29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</w:tbl>
    <w:p>
      <w:pPr>
        <w:pStyle w:val="3"/>
        <w:rPr>
          <w:rFonts w:ascii="Malgun Gothic"/>
          <w:b/>
          <w:sz w:val="20"/>
        </w:rPr>
      </w:pPr>
    </w:p>
    <w:p>
      <w:pPr>
        <w:pStyle w:val="3"/>
        <w:spacing w:before="3"/>
        <w:rPr>
          <w:rFonts w:ascii="Malgun Gothic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、接种环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、载玱片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1、接种环挑取待检样本，涂布于载玱片上，涂片加热固定。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765" w:right="11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8"/>
        </w:rPr>
        <w:t xml:space="preserve">、滴加 </w:t>
      </w:r>
      <w:r>
        <w:rPr>
          <w:rFonts w:hint="eastAsia" w:ascii="宋体" w:hAnsi="宋体" w:eastAsia="宋体" w:cs="宋体"/>
        </w:rPr>
        <w:t>Ziehl－Neelsen</w:t>
      </w:r>
      <w:r>
        <w:rPr>
          <w:rFonts w:hint="eastAsia" w:ascii="宋体" w:hAnsi="宋体" w:eastAsia="宋体" w:cs="宋体"/>
          <w:spacing w:val="6"/>
        </w:rPr>
        <w:t xml:space="preserve">  </w:t>
      </w:r>
      <w:r>
        <w:rPr>
          <w:rFonts w:hint="eastAsia" w:ascii="宋体" w:hAnsi="宋体" w:eastAsia="宋体" w:cs="宋体"/>
        </w:rPr>
        <w:t>复红染色液，用火焰微热至出现蒸汽，一般该染色过</w:t>
      </w:r>
      <w:r>
        <w:rPr>
          <w:rFonts w:hint="eastAsia" w:ascii="宋体" w:hAnsi="宋体" w:eastAsia="宋体" w:cs="宋体"/>
          <w:spacing w:val="1"/>
        </w:rPr>
        <w:t xml:space="preserve">程至少   </w:t>
      </w:r>
      <w:r>
        <w:rPr>
          <w:rFonts w:hint="eastAsia" w:ascii="宋体" w:hAnsi="宋体" w:eastAsia="宋体" w:cs="宋体"/>
        </w:rPr>
        <w:t>5min (必要时应补加染液、以防止染液蒸发)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3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>Ziehl－Neelsen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脱色液脱色至无红色为</w:t>
      </w:r>
      <w:r>
        <w:rPr>
          <w:rFonts w:hint="eastAsia" w:ascii="宋体" w:hAnsi="宋体" w:eastAsia="宋体" w:cs="宋体"/>
          <w:spacing w:val="-2"/>
          <w:w w:val="105"/>
        </w:rPr>
        <w:t xml:space="preserve">止，一般 </w:t>
      </w:r>
      <w:r>
        <w:rPr>
          <w:rFonts w:hint="eastAsia" w:ascii="宋体" w:hAnsi="宋体" w:eastAsia="宋体" w:cs="宋体"/>
          <w:w w:val="105"/>
        </w:rPr>
        <w:t>1min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即可。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6、用亚甲蓝染色液染色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轻轻吸干水分，自然干燥。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9、油镜镜检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top="1600" w:right="1160" w:bottom="280" w:left="1680" w:header="720" w:footer="720" w:gutter="0"/>
        </w:sectPr>
      </w:pPr>
    </w:p>
    <w:p>
      <w:pPr>
        <w:pStyle w:val="2"/>
        <w:spacing w:line="428" w:lineRule="exact"/>
      </w:pPr>
      <w:r>
        <w:t>染色</w:t>
      </w:r>
      <w:r>
        <w:rPr>
          <w:rFonts w:hint="eastAsia" w:ascii="Microsoft JhengHei" w:eastAsia="Microsoft JhengHei"/>
        </w:rPr>
        <w:t>结</w:t>
      </w:r>
      <w:r>
        <w:t>果：</w:t>
      </w:r>
    </w:p>
    <w:p>
      <w:pPr>
        <w:pStyle w:val="3"/>
        <w:spacing w:before="8"/>
        <w:rPr>
          <w:rFonts w:ascii="Malgun Gothic"/>
          <w:b/>
          <w:sz w:val="28"/>
        </w:rPr>
      </w:pPr>
      <w:r>
        <w:br w:type="column"/>
      </w:r>
    </w:p>
    <w:p>
      <w:pPr>
        <w:pStyle w:val="3"/>
        <w:tabs>
          <w:tab w:val="left" w:pos="2920"/>
        </w:tabs>
        <w:ind w:left="52"/>
      </w:pPr>
      <w:r>
        <w:t>抗酸菌</w:t>
      </w:r>
      <w: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06" w:space="40"/>
            <w:col w:w="7414"/>
          </w:cols>
        </w:sectPr>
      </w:pPr>
    </w:p>
    <w:p>
      <w:pPr>
        <w:pStyle w:val="3"/>
        <w:tabs>
          <w:tab w:val="left" w:pos="4565"/>
        </w:tabs>
        <w:spacing w:before="106"/>
        <w:ind w:left="1697"/>
      </w:pPr>
      <w:r>
        <w:t>背景及非抗酸菌</w:t>
      </w:r>
      <w:r>
        <w:tab/>
      </w:r>
      <w:r>
        <w:rPr>
          <w:rFonts w:hint="eastAsia" w:ascii="宋体" w:eastAsia="宋体"/>
          <w:position w:val="3"/>
        </w:rPr>
        <w:t>蓝</w:t>
      </w:r>
      <w:r>
        <w:rPr>
          <w:position w:val="3"/>
        </w:rPr>
        <w:t>色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1</w:t>
      </w:r>
      <w:r>
        <w:rPr>
          <w:rFonts w:hint="eastAsia" w:ascii="宋体" w:hAnsi="宋体" w:eastAsia="宋体" w:cs="宋体"/>
        </w:rPr>
        <w:t>、每次使用后盖紧试剂瓶，以防试剂挥发和污染。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2</w:t>
      </w:r>
      <w:r>
        <w:rPr>
          <w:rFonts w:hint="eastAsia" w:ascii="宋体" w:hAnsi="宋体" w:eastAsia="宋体" w:cs="宋体"/>
        </w:rPr>
        <w:t>、上述试剂均对人体有刺激性，请注意适当防护。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0419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3937000</wp:posOffset>
              </wp:positionH>
              <wp:positionV relativeFrom="paragraph">
                <wp:posOffset>-17780</wp:posOffset>
              </wp:positionV>
              <wp:extent cx="1818005" cy="892175"/>
              <wp:effectExtent l="0" t="0" r="10795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3800" y="452120"/>
                        <a:ext cx="181800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pt;margin-top:-1.4pt;height:70.25pt;width:143.15pt;z-index:251658240;mso-width-relative:page;mso-height-relative:page;" fillcolor="#FFFFFF" filled="t" stroked="f" coordsize="21600,21600" o:gfxdata="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Mp6DrXAAAACgEAAA8AAAAAAAAAAQAgAAAAIgAAAGRycy9kb3ducmV2&#10;LnhtbFBLAQIUABQAAAAIAIdO4kCZJEgD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6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nl-NL" w:eastAsia="nl-NL" w:bidi="nl-NL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nl-NL" w:eastAsia="nl-NL" w:bidi="nl-N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nl-NL" w:eastAsia="nl-NL" w:bidi="nl-NL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nl-NL" w:eastAsia="nl-NL" w:bidi="nl-NL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2019-06-10T07:21:00Z</dcterms:created>
  <dc:creator>94099</dc:creator>
  <cp:lastModifiedBy>Cute  princess</cp:lastModifiedBy>
  <dcterms:modified xsi:type="dcterms:W3CDTF">2019-06-10T07:25:47Z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