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1661160</wp:posOffset>
                </wp:positionV>
                <wp:extent cx="5970270" cy="6985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44880" y="1661160"/>
                          <a:ext cx="5970270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4pt;margin-top:130.8pt;height:0.55pt;width:470.1pt;mso-position-horizontal-relative:page;mso-position-vertical-relative:page;z-index:251658240;mso-width-relative:page;mso-height-relative:page;" filled="f" stroked="t" coordsize="21600,21600" o:gfxdata="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SNDU/9cA&#10;AAAMAQAADwAAAAAAAAABACAAAAAiAAAAZHJzL2Rvd25yZXYueG1sUEsBAhQAFAAAAAgAh07iQFcb&#10;nCXnAQAAswMAAA4AAAAAAAAAAQAgAAAAJ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spacing w:after="0"/>
        <w:rPr>
          <w:sz w:val="28"/>
        </w:rPr>
        <w:sectPr>
          <w:headerReference r:id="rId3" w:type="default"/>
          <w:type w:val="continuous"/>
          <w:pgSz w:w="11900" w:h="16840"/>
          <w:pgMar w:top="660" w:right="1020" w:bottom="280" w:left="1680" w:header="720" w:footer="720" w:gutter="0"/>
        </w:sectPr>
      </w:pPr>
    </w:p>
    <w:p>
      <w:pPr>
        <w:pStyle w:val="3"/>
        <w:spacing w:before="8"/>
        <w:rPr>
          <w:b/>
          <w:sz w:val="34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0" w:line="511" w:lineRule="exact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台盼蓝染色细胞存活率检测试剂盒</w:t>
      </w:r>
    </w:p>
    <w:p>
      <w:pPr>
        <w:spacing w:after="0" w:line="511" w:lineRule="exact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020" w:bottom="280" w:left="1680" w:header="720" w:footer="720" w:gutter="0"/>
          <w:cols w:equalWidth="0" w:num="2">
            <w:col w:w="1646" w:space="307"/>
            <w:col w:w="724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right="394" w:firstLine="421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台盼蓝染色细胞存活率检测试剂盒(Trypan Blue Staining Cell Viability Assay Kit）是利用正常的健康细胞能够排斥台盼蓝不被染色即拒染特性，而丧失细胞膜完整性的细胞可以被台盼蓝染色的原理研制而成。严格来说，台盼蓝染色检测的是细胞膜的完整性，通常</w:t>
      </w:r>
      <w:r>
        <w:rPr>
          <w:rFonts w:hint="eastAsia" w:ascii="宋体" w:hAnsi="宋体" w:eastAsia="宋体" w:cs="宋体"/>
          <w:spacing w:val="-10"/>
        </w:rPr>
        <w:t xml:space="preserve">认为 </w:t>
      </w:r>
      <w:r>
        <w:rPr>
          <w:rFonts w:hint="eastAsia" w:ascii="宋体" w:hAnsi="宋体" w:eastAsia="宋体" w:cs="宋体"/>
        </w:rPr>
        <w:t>细胞膜丧失完整性，即可认为细胞已经死亡。台盼蓝染色后，通过显微镜下直接计数或显</w:t>
      </w:r>
      <w:r>
        <w:rPr>
          <w:rFonts w:hint="eastAsia" w:ascii="宋体" w:hAnsi="宋体" w:eastAsia="宋体" w:cs="宋体"/>
          <w:spacing w:val="-19"/>
        </w:rPr>
        <w:t xml:space="preserve">微 </w:t>
      </w:r>
      <w:r>
        <w:rPr>
          <w:rFonts w:hint="eastAsia" w:ascii="宋体" w:hAnsi="宋体" w:eastAsia="宋体" w:cs="宋体"/>
        </w:rPr>
        <w:t>镜下拍照后计数，就可以对细胞存活率进行比较精确的计算。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45" w:leftChars="0" w:firstLine="378" w:firstLineChars="18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台盼蓝染色细胞存活率检测试剂盒主要由 Trypan Blue stain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</w:rPr>
        <w:t>细胞重悬液组</w:t>
      </w:r>
      <w:r>
        <w:rPr>
          <w:rFonts w:hint="eastAsia" w:ascii="宋体" w:hAnsi="宋体" w:eastAsia="宋体" w:cs="宋体"/>
          <w:w w:val="105"/>
        </w:rPr>
        <w:t>成，1ml规格试剂大约</w:t>
      </w:r>
      <w:r>
        <w:rPr>
          <w:rFonts w:hint="eastAsia" w:ascii="宋体" w:hAnsi="宋体" w:eastAsia="宋体" w:cs="宋体"/>
          <w:spacing w:val="-2"/>
          <w:w w:val="105"/>
        </w:rPr>
        <w:t xml:space="preserve">可以染色 </w:t>
      </w:r>
      <w:r>
        <w:rPr>
          <w:rFonts w:hint="eastAsia" w:ascii="宋体" w:hAnsi="宋体" w:eastAsia="宋体" w:cs="宋体"/>
          <w:w w:val="105"/>
        </w:rPr>
        <w:t>10</w:t>
      </w:r>
      <w:r>
        <w:rPr>
          <w:rFonts w:hint="eastAsia" w:ascii="宋体" w:hAnsi="宋体" w:eastAsia="宋体" w:cs="宋体"/>
          <w:spacing w:val="59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次。</w:t>
      </w:r>
    </w:p>
    <w:p>
      <w:pPr>
        <w:pStyle w:val="3"/>
        <w:rPr>
          <w:sz w:val="20"/>
        </w:rPr>
      </w:pPr>
    </w:p>
    <w:p>
      <w:pPr>
        <w:pStyle w:val="3"/>
        <w:spacing w:before="5"/>
        <w:rPr>
          <w:sz w:val="20"/>
        </w:rPr>
      </w:pPr>
    </w:p>
    <w:tbl>
      <w:tblPr>
        <w:tblStyle w:val="6"/>
        <w:tblW w:w="6741" w:type="dxa"/>
        <w:tblInd w:w="3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41"/>
        <w:gridCol w:w="1260"/>
        <w:gridCol w:w="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4741" w:type="dxa"/>
          </w:tcPr>
          <w:p>
            <w:pPr>
              <w:pStyle w:val="11"/>
              <w:spacing w:line="328" w:lineRule="exact"/>
              <w:ind w:left="50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产品组成：</w:t>
            </w:r>
          </w:p>
        </w:tc>
        <w:tc>
          <w:tcPr>
            <w:tcW w:w="126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741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11"/>
              <w:spacing w:before="8"/>
              <w:rPr>
                <w:rFonts w:ascii="MS UI Gothic"/>
                <w:sz w:val="18"/>
              </w:rPr>
            </w:pPr>
          </w:p>
          <w:p>
            <w:pPr>
              <w:pStyle w:val="11"/>
              <w:ind w:right="415"/>
              <w:jc w:val="right"/>
              <w:rPr>
                <w:sz w:val="19"/>
              </w:rPr>
            </w:pPr>
            <w:r>
              <w:rPr>
                <w:sz w:val="19"/>
              </w:rPr>
              <w:t>100T</w:t>
            </w:r>
          </w:p>
        </w:tc>
        <w:tc>
          <w:tcPr>
            <w:tcW w:w="7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741" w:type="dxa"/>
          </w:tcPr>
          <w:p>
            <w:pPr>
              <w:pStyle w:val="11"/>
              <w:spacing w:before="26" w:line="363" w:lineRule="exact"/>
              <w:ind w:left="1432"/>
              <w:rPr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试剂</w:t>
            </w:r>
            <w:r>
              <w:rPr>
                <w:sz w:val="21"/>
              </w:rPr>
              <w:t>(A): Trypan Blue stain(2×)</w:t>
            </w:r>
          </w:p>
        </w:tc>
        <w:tc>
          <w:tcPr>
            <w:tcW w:w="1260" w:type="dxa"/>
          </w:tcPr>
          <w:p>
            <w:pPr>
              <w:pStyle w:val="11"/>
              <w:spacing w:before="53" w:line="337" w:lineRule="exact"/>
              <w:ind w:right="406"/>
              <w:jc w:val="right"/>
              <w:rPr>
                <w:sz w:val="19"/>
              </w:rPr>
            </w:pPr>
            <w:r>
              <w:rPr>
                <w:sz w:val="19"/>
              </w:rPr>
              <w:t>10ml</w:t>
            </w:r>
          </w:p>
        </w:tc>
        <w:tc>
          <w:tcPr>
            <w:tcW w:w="740" w:type="dxa"/>
          </w:tcPr>
          <w:p>
            <w:pPr>
              <w:pStyle w:val="11"/>
              <w:spacing w:before="26" w:line="363" w:lineRule="exact"/>
              <w:ind w:right="47"/>
              <w:jc w:val="right"/>
              <w:rPr>
                <w:sz w:val="21"/>
              </w:rPr>
            </w:pPr>
            <w:r>
              <w:rPr>
                <w:sz w:val="21"/>
              </w:rPr>
              <w:t>4℃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741" w:type="dxa"/>
          </w:tcPr>
          <w:p>
            <w:pPr>
              <w:pStyle w:val="11"/>
              <w:spacing w:line="329" w:lineRule="exact"/>
              <w:ind w:left="1432"/>
              <w:rPr>
                <w:rFonts w:hint="eastAsia" w:ascii="MS UI Gothic" w:eastAsia="MS UI Gothic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试剂</w:t>
            </w:r>
            <w:r>
              <w:rPr>
                <w:sz w:val="21"/>
              </w:rPr>
              <w:t xml:space="preserve">(B): </w:t>
            </w:r>
            <w:r>
              <w:rPr>
                <w:rFonts w:hint="eastAsia" w:ascii="宋体" w:eastAsia="宋体"/>
                <w:sz w:val="21"/>
              </w:rPr>
              <w:t>细</w:t>
            </w:r>
            <w:r>
              <w:rPr>
                <w:rFonts w:hint="eastAsia" w:ascii="MS UI Gothic" w:eastAsia="MS UI Gothic"/>
                <w:sz w:val="21"/>
              </w:rPr>
              <w:t>胞重</w:t>
            </w:r>
            <w:r>
              <w:rPr>
                <w:rFonts w:hint="eastAsia" w:ascii="宋体" w:eastAsia="宋体"/>
                <w:sz w:val="21"/>
              </w:rPr>
              <w:t>悬</w:t>
            </w:r>
            <w:r>
              <w:rPr>
                <w:rFonts w:hint="eastAsia" w:ascii="MS UI Gothic" w:eastAsia="MS UI Gothic"/>
                <w:sz w:val="21"/>
              </w:rPr>
              <w:t>液</w:t>
            </w:r>
          </w:p>
        </w:tc>
        <w:tc>
          <w:tcPr>
            <w:tcW w:w="1260" w:type="dxa"/>
          </w:tcPr>
          <w:p>
            <w:pPr>
              <w:pStyle w:val="11"/>
              <w:spacing w:before="48" w:line="280" w:lineRule="exact"/>
              <w:ind w:right="355"/>
              <w:jc w:val="right"/>
              <w:rPr>
                <w:sz w:val="19"/>
              </w:rPr>
            </w:pPr>
            <w:r>
              <w:rPr>
                <w:sz w:val="19"/>
              </w:rPr>
              <w:t>100ml</w:t>
            </w:r>
          </w:p>
        </w:tc>
        <w:tc>
          <w:tcPr>
            <w:tcW w:w="740" w:type="dxa"/>
          </w:tcPr>
          <w:p>
            <w:pPr>
              <w:pStyle w:val="11"/>
              <w:spacing w:line="329" w:lineRule="exact"/>
              <w:ind w:right="47"/>
              <w:jc w:val="right"/>
              <w:rPr>
                <w:sz w:val="21"/>
              </w:rPr>
            </w:pPr>
            <w:r>
              <w:rPr>
                <w:sz w:val="21"/>
              </w:rPr>
              <w:t>4℃</w:t>
            </w:r>
          </w:p>
        </w:tc>
      </w:tr>
    </w:tbl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9"/>
        <w:rPr>
          <w:sz w:val="17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自备材料：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1、胰蛋白酶消化液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显微镜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3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3、血细胞计数板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5"/>
        </w:rPr>
        <w:t>1、收集细胞：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6" w:line="350" w:lineRule="exact"/>
        <w:ind w:left="720" w:right="435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收集贴壁细胞时应采用胰蛋白酶消化细胞，收集细胞。如果收集悬浮细胞，则可以直接  收集细胞。把收集的细</w:t>
      </w:r>
      <w:r>
        <w:rPr>
          <w:rFonts w:hint="eastAsia" w:ascii="宋体" w:hAnsi="宋体" w:eastAsia="宋体" w:cs="宋体"/>
          <w:spacing w:val="11"/>
        </w:rPr>
        <w:t xml:space="preserve">胞在 </w:t>
      </w:r>
      <w:r>
        <w:rPr>
          <w:rFonts w:hint="eastAsia" w:ascii="宋体" w:hAnsi="宋体" w:eastAsia="宋体" w:cs="宋体"/>
        </w:rPr>
        <w:t>1000～2000g</w:t>
      </w:r>
      <w:r>
        <w:rPr>
          <w:rFonts w:hint="eastAsia" w:ascii="宋体" w:hAnsi="宋体" w:eastAsia="宋体" w:cs="宋体"/>
          <w:spacing w:val="37"/>
        </w:rPr>
        <w:t xml:space="preserve"> </w:t>
      </w:r>
      <w:r>
        <w:rPr>
          <w:rFonts w:hint="eastAsia" w:ascii="宋体" w:hAnsi="宋体" w:eastAsia="宋体" w:cs="宋体"/>
          <w:spacing w:val="11"/>
        </w:rPr>
        <w:t xml:space="preserve">离心 </w:t>
      </w:r>
      <w:r>
        <w:rPr>
          <w:rFonts w:hint="eastAsia" w:ascii="宋体" w:hAnsi="宋体" w:eastAsia="宋体" w:cs="宋体"/>
        </w:rPr>
        <w:t>1min</w:t>
      </w:r>
      <w:r>
        <w:rPr>
          <w:rFonts w:hint="eastAsia" w:ascii="宋体" w:hAnsi="宋体" w:eastAsia="宋体" w:cs="宋体"/>
          <w:spacing w:val="5"/>
        </w:rPr>
        <w:t xml:space="preserve">，弃上清，用 </w:t>
      </w:r>
      <w:r>
        <w:rPr>
          <w:rFonts w:hint="eastAsia" w:ascii="宋体" w:hAnsi="宋体" w:eastAsia="宋体" w:cs="宋体"/>
        </w:rPr>
        <w:t>1ml</w:t>
      </w:r>
      <w:r>
        <w:rPr>
          <w:rFonts w:hint="eastAsia" w:ascii="宋体" w:hAnsi="宋体" w:eastAsia="宋体" w:cs="宋体"/>
          <w:spacing w:val="37"/>
        </w:rPr>
        <w:t xml:space="preserve"> </w:t>
      </w:r>
      <w:r>
        <w:rPr>
          <w:rFonts w:hint="eastAsia" w:ascii="宋体" w:hAnsi="宋体" w:eastAsia="宋体" w:cs="宋体"/>
        </w:rPr>
        <w:t>或适当试剂(B) 重新悬浮起细胞沉淀。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70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4" w:after="0" w:line="350" w:lineRule="exact"/>
        <w:ind w:left="702" w:right="0" w:hanging="298"/>
        <w:jc w:val="both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w w:val="110"/>
          <w:sz w:val="21"/>
        </w:rPr>
        <w:t>台盼蓝染色：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" w:line="350" w:lineRule="exact"/>
        <w:ind w:left="765" w:right="464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吸取 100μl 重悬的细胞到常规 1.5ml 或 0.5ml 离心管内， 加入 100μl Trypan Blue stain(2×)轻轻混匀，染色 3min(染色时间可适当延长，但不宜超过 10min)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70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after="0" w:line="350" w:lineRule="exact"/>
        <w:ind w:left="702" w:right="0" w:hanging="298"/>
        <w:jc w:val="both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w w:val="120"/>
          <w:sz w:val="21"/>
        </w:rPr>
        <w:t>计数：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8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吸取少量经过染色后的细胞，用血细胞计数板计数。通常如果要比较精确地进行定量，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3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每个细胞样品至需要 500 个细胞，数出蓝色细胞和细胞总数。细胞存活率计算公式如下：</w:t>
      </w:r>
    </w:p>
    <w:p>
      <w:pPr>
        <w:pStyle w:val="3"/>
        <w:rPr>
          <w:sz w:val="20"/>
        </w:rPr>
      </w:pPr>
    </w:p>
    <w:p>
      <w:pPr>
        <w:pStyle w:val="3"/>
        <w:spacing w:before="7"/>
        <w:rPr>
          <w:sz w:val="19"/>
        </w:rPr>
      </w:pPr>
    </w:p>
    <w:p>
      <w:pPr>
        <w:tabs>
          <w:tab w:val="left" w:pos="5718"/>
        </w:tabs>
        <w:spacing w:before="100"/>
        <w:ind w:left="1166" w:right="0" w:firstLine="0"/>
        <w:jc w:val="left"/>
        <w:rPr>
          <w:rFonts w:ascii="Cambria"/>
          <w:b/>
          <w:sz w:val="18"/>
        </w:rPr>
      </w:pPr>
    </w:p>
    <w:p>
      <w:pPr>
        <w:spacing w:after="0"/>
        <w:jc w:val="left"/>
        <w:rPr>
          <w:rFonts w:ascii="Cambria"/>
          <w:sz w:val="18"/>
        </w:rPr>
        <w:sectPr>
          <w:type w:val="continuous"/>
          <w:pgSz w:w="11900" w:h="16840"/>
          <w:pgMar w:top="660" w:right="1020" w:bottom="280" w:left="1680" w:header="720" w:footer="720" w:gutter="0"/>
        </w:sectPr>
      </w:pPr>
    </w:p>
    <w:p>
      <w:pPr>
        <w:pStyle w:val="3"/>
        <w:spacing w:before="8"/>
        <w:rPr>
          <w:rFonts w:ascii="Cambria"/>
          <w:b/>
          <w:sz w:val="9"/>
        </w:rPr>
      </w:pPr>
    </w:p>
    <w:p>
      <w:pPr>
        <w:spacing w:before="43"/>
        <w:ind w:left="2112" w:right="1841" w:firstLine="0"/>
        <w:jc w:val="center"/>
        <w:rPr>
          <w:rFonts w:hint="eastAsia" w:ascii="微软雅黑" w:hAnsi="微软雅黑" w:eastAsia="微软雅黑"/>
          <w:b/>
          <w:sz w:val="21"/>
        </w:rPr>
      </w:pPr>
      <w:r>
        <w:rPr>
          <w:rFonts w:hint="eastAsia" w:ascii="Microsoft JhengHei" w:hAnsi="Microsoft JhengHei" w:eastAsia="Microsoft JhengHei"/>
          <w:b/>
          <w:sz w:val="21"/>
        </w:rPr>
        <w:t>细胞存活率＝</w:t>
      </w:r>
      <w:r>
        <w:rPr>
          <w:rFonts w:hint="eastAsia" w:ascii="微软雅黑" w:hAnsi="微软雅黑" w:eastAsia="微软雅黑"/>
          <w:b/>
          <w:sz w:val="21"/>
        </w:rPr>
        <w:t>(</w:t>
      </w:r>
      <w:r>
        <w:rPr>
          <w:rFonts w:hint="eastAsia" w:ascii="Microsoft JhengHei" w:hAnsi="Microsoft JhengHei" w:eastAsia="Microsoft JhengHei"/>
          <w:b/>
          <w:sz w:val="21"/>
        </w:rPr>
        <w:t>细胞总数－蓝色细胞数</w:t>
      </w:r>
      <w:r>
        <w:rPr>
          <w:rFonts w:hint="eastAsia" w:ascii="微软雅黑" w:hAnsi="微软雅黑" w:eastAsia="微软雅黑"/>
          <w:b/>
          <w:sz w:val="21"/>
        </w:rPr>
        <w:t>)/</w:t>
      </w:r>
      <w:r>
        <w:rPr>
          <w:rFonts w:hint="eastAsia" w:ascii="Microsoft JhengHei" w:hAnsi="Microsoft JhengHei" w:eastAsia="Microsoft JhengHei"/>
          <w:b/>
          <w:sz w:val="21"/>
        </w:rPr>
        <w:t>细胞总数</w:t>
      </w:r>
      <w:r>
        <w:rPr>
          <w:rFonts w:hint="eastAsia" w:ascii="微软雅黑" w:hAnsi="微软雅黑" w:eastAsia="微软雅黑"/>
          <w:b/>
          <w:sz w:val="21"/>
        </w:rPr>
        <w:t>×100%</w:t>
      </w:r>
    </w:p>
    <w:p>
      <w:pPr>
        <w:pStyle w:val="3"/>
        <w:spacing w:before="12"/>
        <w:rPr>
          <w:rFonts w:ascii="微软雅黑"/>
          <w:b/>
          <w:sz w:val="2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10"/>
        </w:rPr>
        <w:t>最好在超净台内进行无菌操作，避免细菌污染。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台盼蓝对人体有害，请注意小心操作。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3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为了您的安全和健康，请穿实验服并戴一次性手套操作。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  <w:bookmarkStart w:id="0" w:name="_GoBack"/>
      <w:bookmarkEnd w:id="0"/>
    </w:p>
    <w:sectPr>
      <w:pgSz w:w="11900" w:h="16840"/>
      <w:pgMar w:top="1600" w:right="102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69666" o:spid="_x0000_s2050" o:spt="136" type="#_x0000_t136" style="position:absolute;left:0pt;height:72.65pt;width:577.8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3983355</wp:posOffset>
              </wp:positionH>
              <wp:positionV relativeFrom="paragraph">
                <wp:posOffset>-20955</wp:posOffset>
              </wp:positionV>
              <wp:extent cx="1857375" cy="895350"/>
              <wp:effectExtent l="0" t="0" r="9525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050155" y="448945"/>
                        <a:ext cx="1857375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13.65pt;margin-top:-1.65pt;height:70.5pt;width:146.25pt;z-index:251658240;mso-width-relative:page;mso-height-relative:page;" fillcolor="#FFFFFF" filled="t" stroked="f" coordsize="21600,21600" o:gfxdata="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qPMrF1wAAAAoBAAAPAAAAAAAAAAEAIAAAACIAAABkcnMvZG93&#10;bnJldi54bWxQSwECFAAUAAAACACHTuJAtF7TA8gBAABUAwAADgAAAAAAAAABACAAAAAm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2"/>
      <w:numFmt w:val="decimal"/>
      <w:lvlText w:val="%1."/>
      <w:lvlJc w:val="left"/>
      <w:pPr>
        <w:ind w:left="702" w:hanging="298"/>
        <w:jc w:val="left"/>
      </w:pPr>
      <w:rPr>
        <w:rFonts w:hint="default" w:ascii="微软雅黑" w:hAnsi="微软雅黑" w:eastAsia="微软雅黑" w:cs="微软雅黑"/>
        <w:spacing w:val="-1"/>
        <w:w w:val="100"/>
        <w:sz w:val="21"/>
        <w:szCs w:val="21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550" w:hanging="298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400" w:hanging="298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3250" w:hanging="298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100" w:hanging="298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4950" w:hanging="298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5800" w:hanging="298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6650" w:hanging="298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7500" w:hanging="298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7820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en-US" w:eastAsia="en-US" w:bidi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9"/>
      <w:ind w:left="702" w:hanging="298"/>
      <w:jc w:val="both"/>
    </w:pPr>
    <w:rPr>
      <w:rFonts w:ascii="MS UI Gothic" w:hAnsi="MS UI Gothic" w:eastAsia="MS UI Gothic" w:cs="MS UI Gothic"/>
      <w:lang w:val="en-US" w:eastAsia="en-US" w:bidi="en-US"/>
    </w:rPr>
  </w:style>
  <w:style w:type="paragraph" w:customStyle="1" w:styleId="11">
    <w:name w:val="Table Paragraph"/>
    <w:basedOn w:val="1"/>
    <w:qFormat/>
    <w:uiPriority w:val="1"/>
    <w:rPr>
      <w:rFonts w:ascii="微软雅黑" w:hAnsi="微软雅黑" w:eastAsia="微软雅黑" w:cs="微软雅黑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2019-04-30T02:49:00Z</dcterms:created>
  <dc:creator>94099</dc:creator>
  <cp:lastModifiedBy>Cute  princess</cp:lastModifiedBy>
  <dcterms:modified xsi:type="dcterms:W3CDTF">2019-04-30T02:55:03Z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2019-04-30T00:00:00Z</vt:filetime>
  </property>
  <property fmtid="{D5CDD505-2E9C-101B-9397-08002B2CF9AE}" pid="5" name="KSOProductBuildVer">
    <vt:lpwstr>2052-11.1.0.8612</vt:lpwstr>
  </property>
</Properties>
</file>