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t>产品简介</w:t>
      </w:r>
      <w:r>
        <w:rPr>
          <w:rFonts w:hint="eastAsia" w:ascii="宋体" w:hAnsi="宋体" w:eastAsia="宋体" w:cs="宋体"/>
          <w:sz w:val="22"/>
        </w:rPr>
        <w:t>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金胺</w:t>
      </w:r>
      <w:r>
        <w:rPr>
          <w:rFonts w:hint="eastAsia" w:ascii="宋体" w:hAnsi="宋体" w:eastAsia="宋体" w:cs="宋体"/>
          <w:b/>
          <w:sz w:val="30"/>
        </w:rPr>
        <w:t>-</w:t>
      </w:r>
      <w:r>
        <w:rPr>
          <w:rFonts w:hint="eastAsia" w:ascii="宋体" w:hAnsi="宋体" w:eastAsia="宋体" w:cs="宋体"/>
          <w:b/>
          <w:sz w:val="30"/>
        </w:rPr>
        <w:t>酚染色液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26" w:space="1529"/>
            <w:col w:w="584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2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隐孢</w:t>
      </w:r>
      <w:r>
        <w:rPr>
          <w:rFonts w:hint="eastAsia" w:ascii="宋体" w:hAnsi="宋体" w:eastAsia="宋体" w:cs="宋体"/>
        </w:rPr>
        <w:t>子虫卵囊染色</w:t>
      </w:r>
      <w:r>
        <w:rPr>
          <w:rFonts w:hint="eastAsia" w:ascii="宋体" w:hAnsi="宋体" w:eastAsia="宋体" w:cs="宋体"/>
        </w:rPr>
        <w:t>检查</w:t>
      </w:r>
      <w:r>
        <w:rPr>
          <w:rFonts w:hint="eastAsia" w:ascii="宋体" w:hAnsi="宋体" w:eastAsia="宋体" w:cs="宋体"/>
        </w:rPr>
        <w:t>方法有金胺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酚染色法、改良抗酸染色法、金胺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酚染色法改良抗 酸染色法等。金胺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酚染色液由金胺、酚、适用于新</w:t>
      </w:r>
      <w:r>
        <w:rPr>
          <w:rFonts w:hint="eastAsia" w:ascii="宋体" w:hAnsi="宋体" w:eastAsia="宋体" w:cs="宋体"/>
        </w:rPr>
        <w:t>鲜粪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本或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福</w:t>
      </w:r>
      <w:r>
        <w:rPr>
          <w:rFonts w:hint="eastAsia" w:ascii="宋体" w:hAnsi="宋体" w:eastAsia="宋体" w:cs="宋体"/>
        </w:rPr>
        <w:t>尔马</w:t>
      </w:r>
      <w:r>
        <w:rPr>
          <w:rFonts w:hint="eastAsia" w:ascii="宋体" w:hAnsi="宋体" w:eastAsia="宋体" w:cs="宋体"/>
        </w:rPr>
        <w:t>林固定后的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-9"/>
        </w:rPr>
        <w:t>本。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该试剂仅</w:t>
      </w:r>
      <w:r>
        <w:rPr>
          <w:rFonts w:hint="eastAsia" w:ascii="宋体" w:hAnsi="宋体" w:eastAsia="宋体" w:cs="宋体"/>
          <w:w w:val="105"/>
        </w:rPr>
        <w:t>用于科研</w:t>
      </w:r>
      <w:r>
        <w:rPr>
          <w:rFonts w:hint="eastAsia" w:ascii="宋体" w:hAnsi="宋体" w:eastAsia="宋体" w:cs="宋体"/>
          <w:w w:val="105"/>
        </w:rPr>
        <w:t>领</w:t>
      </w:r>
      <w:r>
        <w:rPr>
          <w:rFonts w:hint="eastAsia" w:ascii="宋体" w:hAnsi="宋体" w:eastAsia="宋体" w:cs="宋体"/>
          <w:w w:val="105"/>
        </w:rPr>
        <w:t>域，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适用于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</w:t>
      </w:r>
      <w:r>
        <w:rPr>
          <w:rFonts w:hint="eastAsia" w:ascii="宋体" w:hAnsi="宋体" w:eastAsia="宋体" w:cs="宋体"/>
          <w:w w:val="105"/>
        </w:rPr>
        <w:t>诊</w:t>
      </w:r>
      <w:r>
        <w:rPr>
          <w:rFonts w:hint="eastAsia" w:ascii="宋体" w:hAnsi="宋体" w:eastAsia="宋体" w:cs="宋体"/>
          <w:w w:val="105"/>
        </w:rPr>
        <w:t>断或其他用途。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3"/>
        </w:rPr>
      </w:pPr>
    </w:p>
    <w:tbl>
      <w:tblPr>
        <w:tblStyle w:val="6"/>
        <w:tblW w:w="6713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1843"/>
        <w:gridCol w:w="1394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54" w:type="dxa"/>
          </w:tcPr>
          <w:p>
            <w:pPr>
              <w:pStyle w:val="11"/>
              <w:spacing w:line="328" w:lineRule="exact"/>
              <w:ind w:left="5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产品组成：</w:t>
            </w:r>
          </w:p>
        </w:tc>
        <w:tc>
          <w:tcPr>
            <w:tcW w:w="4259" w:type="dxa"/>
            <w:gridSpan w:val="3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454" w:type="dxa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11"/>
              <w:spacing w:before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1"/>
              <w:ind w:left="493" w:right="226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3</w:t>
            </w:r>
            <w:r>
              <w:rPr>
                <w:rFonts w:hint="eastAsia" w:ascii="宋体" w:hAnsi="宋体" w:eastAsia="宋体" w:cs="宋体"/>
                <w:sz w:val="19"/>
              </w:rPr>
              <w:t>×20ml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454" w:type="dxa"/>
          </w:tcPr>
          <w:p>
            <w:pPr>
              <w:pStyle w:val="11"/>
              <w:spacing w:before="19" w:line="363" w:lineRule="exact"/>
              <w:ind w:right="52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(A):</w:t>
            </w:r>
          </w:p>
        </w:tc>
        <w:tc>
          <w:tcPr>
            <w:tcW w:w="1843" w:type="dxa"/>
          </w:tcPr>
          <w:p>
            <w:pPr>
              <w:pStyle w:val="11"/>
              <w:spacing w:before="86"/>
              <w:ind w:left="69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金胺酚染色液</w:t>
            </w:r>
          </w:p>
        </w:tc>
        <w:tc>
          <w:tcPr>
            <w:tcW w:w="1394" w:type="dxa"/>
          </w:tcPr>
          <w:p>
            <w:pPr>
              <w:pStyle w:val="11"/>
              <w:spacing w:before="45" w:line="337" w:lineRule="exact"/>
              <w:ind w:left="491" w:right="226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20ml</w:t>
            </w:r>
          </w:p>
        </w:tc>
        <w:tc>
          <w:tcPr>
            <w:tcW w:w="1022" w:type="dxa"/>
          </w:tcPr>
          <w:p>
            <w:pPr>
              <w:pStyle w:val="11"/>
              <w:spacing w:before="45" w:line="337" w:lineRule="exact"/>
              <w:ind w:left="246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RT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454" w:type="dxa"/>
          </w:tcPr>
          <w:p>
            <w:pPr>
              <w:pStyle w:val="11"/>
              <w:spacing w:line="372" w:lineRule="exact"/>
              <w:ind w:right="68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(B):</w:t>
            </w:r>
          </w:p>
        </w:tc>
        <w:tc>
          <w:tcPr>
            <w:tcW w:w="1843" w:type="dxa"/>
          </w:tcPr>
          <w:p>
            <w:pPr>
              <w:pStyle w:val="11"/>
              <w:spacing w:before="63"/>
              <w:ind w:left="5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分化液</w:t>
            </w:r>
          </w:p>
        </w:tc>
        <w:tc>
          <w:tcPr>
            <w:tcW w:w="1394" w:type="dxa"/>
          </w:tcPr>
          <w:p>
            <w:pPr>
              <w:pStyle w:val="11"/>
              <w:spacing w:before="18"/>
              <w:ind w:left="491" w:right="226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20ml</w:t>
            </w:r>
          </w:p>
        </w:tc>
        <w:tc>
          <w:tcPr>
            <w:tcW w:w="1022" w:type="dxa"/>
          </w:tcPr>
          <w:p>
            <w:pPr>
              <w:pStyle w:val="11"/>
              <w:spacing w:before="18"/>
              <w:ind w:left="246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454" w:type="dxa"/>
          </w:tcPr>
          <w:p>
            <w:pPr>
              <w:pStyle w:val="11"/>
              <w:spacing w:before="9" w:line="333" w:lineRule="exact"/>
              <w:ind w:right="59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(C):</w:t>
            </w:r>
          </w:p>
        </w:tc>
        <w:tc>
          <w:tcPr>
            <w:tcW w:w="1843" w:type="dxa"/>
          </w:tcPr>
          <w:p>
            <w:pPr>
              <w:pStyle w:val="11"/>
              <w:spacing w:before="76" w:line="266" w:lineRule="exact"/>
              <w:ind w:left="63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氧化</w:t>
            </w:r>
            <w:r>
              <w:rPr>
                <w:rFonts w:hint="eastAsia" w:ascii="宋体" w:hAnsi="宋体" w:eastAsia="宋体" w:cs="宋体"/>
                <w:sz w:val="21"/>
              </w:rPr>
              <w:t>剂</w:t>
            </w:r>
          </w:p>
        </w:tc>
        <w:tc>
          <w:tcPr>
            <w:tcW w:w="1394" w:type="dxa"/>
          </w:tcPr>
          <w:p>
            <w:pPr>
              <w:pStyle w:val="11"/>
              <w:spacing w:before="31" w:line="311" w:lineRule="exact"/>
              <w:ind w:left="491" w:right="226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20ml</w:t>
            </w:r>
          </w:p>
        </w:tc>
        <w:tc>
          <w:tcPr>
            <w:tcW w:w="1022" w:type="dxa"/>
          </w:tcPr>
          <w:p>
            <w:pPr>
              <w:pStyle w:val="11"/>
              <w:spacing w:before="62" w:line="280" w:lineRule="exact"/>
              <w:ind w:left="246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 xml:space="preserve">RT </w:t>
            </w:r>
            <w:r>
              <w:rPr>
                <w:rFonts w:hint="eastAsia" w:ascii="宋体" w:hAnsi="宋体" w:eastAsia="宋体" w:cs="宋体"/>
                <w:sz w:val="19"/>
              </w:rPr>
              <w:t>避 光</w:t>
            </w:r>
          </w:p>
        </w:tc>
      </w:tr>
    </w:tbl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、准</w:t>
      </w:r>
      <w:r>
        <w:rPr>
          <w:rFonts w:hint="eastAsia" w:ascii="宋体" w:hAnsi="宋体" w:eastAsia="宋体" w:cs="宋体"/>
          <w:w w:val="105"/>
        </w:rPr>
        <w:t>备粪</w:t>
      </w:r>
      <w:r>
        <w:rPr>
          <w:rFonts w:hint="eastAsia" w:ascii="宋体" w:hAnsi="宋体" w:eastAsia="宋体" w:cs="宋体"/>
          <w:w w:val="105"/>
        </w:rPr>
        <w:t>便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 xml:space="preserve">本薄涂片，自然晾干，甲醇中固定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、滴加金胺酚染色液于晾干的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 xml:space="preserve">膜上，放置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05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、滴加分化液于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spacing w:val="1"/>
          <w:w w:val="105"/>
        </w:rPr>
        <w:t xml:space="preserve">膜上，放置  </w:t>
      </w:r>
      <w:r>
        <w:rPr>
          <w:rFonts w:hint="eastAsia" w:ascii="宋体" w:hAnsi="宋体" w:eastAsia="宋体" w:cs="宋体"/>
          <w:w w:val="105"/>
        </w:rPr>
        <w:t>1min</w:t>
      </w:r>
      <w:r>
        <w:rPr>
          <w:rFonts w:hint="eastAsia" w:ascii="宋体" w:hAnsi="宋体" w:eastAsia="宋体" w:cs="宋体"/>
          <w:w w:val="105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、滴加氧化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spacing w:val="1"/>
          <w:w w:val="105"/>
        </w:rPr>
        <w:t xml:space="preserve">膜上，放置  </w:t>
      </w:r>
      <w:r>
        <w:rPr>
          <w:rFonts w:hint="eastAsia" w:ascii="宋体" w:hAnsi="宋体" w:eastAsia="宋体" w:cs="宋体"/>
          <w:w w:val="105"/>
        </w:rPr>
        <w:t>1min</w:t>
      </w:r>
      <w:r>
        <w:rPr>
          <w:rFonts w:hint="eastAsia" w:ascii="宋体" w:hAnsi="宋体" w:eastAsia="宋体" w:cs="宋体"/>
          <w:w w:val="105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、待干、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镜检查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染色结果：</w:t>
      </w:r>
      <w:r>
        <w:rPr>
          <w:rFonts w:hint="eastAsia" w:ascii="宋体" w:hAnsi="宋体" w:eastAsia="宋体" w:cs="宋体"/>
        </w:rPr>
        <w:t>低倍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  <w:r>
        <w:rPr>
          <w:rFonts w:hint="eastAsia" w:ascii="宋体" w:hAnsi="宋体" w:eastAsia="宋体" w:cs="宋体"/>
        </w:rPr>
        <w:t>下，卵囊呈一</w:t>
      </w:r>
      <w:r>
        <w:rPr>
          <w:rFonts w:hint="eastAsia" w:ascii="宋体" w:hAnsi="宋体" w:eastAsia="宋体" w:cs="宋体"/>
        </w:rPr>
        <w:t>圆</w:t>
      </w:r>
      <w:r>
        <w:rPr>
          <w:rFonts w:hint="eastAsia" w:ascii="宋体" w:hAnsi="宋体" w:eastAsia="宋体" w:cs="宋体"/>
        </w:rPr>
        <w:t>形小亮点，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出乳白色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光。低倍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下，卵囊呈乳白色或略</w:t>
      </w:r>
      <w:r>
        <w:rPr>
          <w:rFonts w:hint="eastAsia" w:ascii="宋体" w:hAnsi="宋体" w:eastAsia="宋体" w:cs="宋体"/>
          <w:w w:val="105"/>
        </w:rPr>
        <w:t>带绿</w:t>
      </w:r>
      <w:r>
        <w:rPr>
          <w:rFonts w:hint="eastAsia" w:ascii="宋体" w:hAnsi="宋体" w:eastAsia="宋体" w:cs="宋体"/>
          <w:w w:val="105"/>
        </w:rPr>
        <w:t>色，卵囊壁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一薄</w:t>
      </w:r>
      <w:r>
        <w:rPr>
          <w:rFonts w:hint="eastAsia" w:ascii="宋体" w:hAnsi="宋体" w:eastAsia="宋体" w:cs="宋体"/>
          <w:w w:val="105"/>
        </w:rPr>
        <w:t>层</w:t>
      </w:r>
      <w:r>
        <w:rPr>
          <w:rFonts w:hint="eastAsia" w:ascii="宋体" w:hAnsi="宋体" w:eastAsia="宋体" w:cs="宋体"/>
          <w:w w:val="105"/>
        </w:rPr>
        <w:t>，多数卵囊周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w w:val="105"/>
        </w:rPr>
        <w:t>深染，中央淡然，呈</w:t>
      </w:r>
      <w:r>
        <w:rPr>
          <w:rFonts w:hint="eastAsia" w:ascii="宋体" w:hAnsi="宋体" w:eastAsia="宋体" w:cs="宋体"/>
          <w:w w:val="105"/>
        </w:rPr>
        <w:t>环</w:t>
      </w:r>
      <w:r>
        <w:rPr>
          <w:rFonts w:hint="eastAsia" w:ascii="宋体" w:hAnsi="宋体" w:eastAsia="宋体" w:cs="宋体"/>
          <w:w w:val="105"/>
        </w:rPr>
        <w:t>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、有些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>本可出</w:t>
      </w:r>
      <w:r>
        <w:rPr>
          <w:rFonts w:hint="eastAsia" w:ascii="宋体" w:hAnsi="宋体" w:eastAsia="宋体" w:cs="宋体"/>
          <w:w w:val="105"/>
        </w:rPr>
        <w:t>现</w:t>
      </w:r>
      <w:r>
        <w:rPr>
          <w:rFonts w:hint="eastAsia" w:ascii="宋体" w:hAnsi="宋体" w:eastAsia="宋体" w:cs="宋体"/>
          <w:w w:val="105"/>
        </w:rPr>
        <w:t>非特异性的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颗</w:t>
      </w:r>
      <w:r>
        <w:rPr>
          <w:rFonts w:hint="eastAsia" w:ascii="宋体" w:hAnsi="宋体" w:eastAsia="宋体" w:cs="宋体"/>
          <w:w w:val="105"/>
        </w:rPr>
        <w:t>粒，注意加以区</w:t>
      </w:r>
      <w:r>
        <w:rPr>
          <w:rFonts w:hint="eastAsia" w:ascii="宋体" w:hAnsi="宋体" w:eastAsia="宋体" w:cs="宋体"/>
          <w:w w:val="105"/>
        </w:rPr>
        <w:t>别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18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18508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3888105</wp:posOffset>
              </wp:positionH>
              <wp:positionV relativeFrom="paragraph">
                <wp:posOffset>-11430</wp:posOffset>
              </wp:positionV>
              <wp:extent cx="1828800" cy="88582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4905" y="458470"/>
                        <a:ext cx="18288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15pt;margin-top:-0.9pt;height:69.75pt;width:144pt;z-index:251658240;mso-width-relative:page;mso-height-relative:page;" fillcolor="#FFFFFF" filled="t" stroked="f" coordsize="21600,21600" o:gfxdata="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Gtsp3XAAAACgEAAA8AAAAAAAAAAQAgAAAAIgAAAGRycy9kb3ducmV2&#10;LnhtbFBLAQIUABQAAAAIAIdO4kAewKy5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F1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2019-05-07T08:25:00Z</dcterms:created>
  <dc:creator>94099</dc:creator>
  <cp:lastModifiedBy>Cute  princess</cp:lastModifiedBy>
  <dcterms:modified xsi:type="dcterms:W3CDTF">2019-05-07T08:29:02Z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