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583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2.9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zN4eNkAAAAM&#10;AQAADwAAAAAAAAABACAAAAAiAAAAZHJzL2Rvd25yZXYueG1sUEsBAhQAFAAAAAgAh07iQAbJLi3i&#10;AQAAqQMAAA4AAAAAAAAAAQAgAAAAK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ascii="MS UI Gothic"/>
          <w:b/>
          <w:sz w:val="20"/>
        </w:rPr>
      </w:pPr>
    </w:p>
    <w:p>
      <w:pPr>
        <w:pStyle w:val="3"/>
        <w:ind w:left="0"/>
        <w:rPr>
          <w:rFonts w:ascii="MS UI Gothic"/>
          <w:b/>
          <w:sz w:val="20"/>
        </w:rPr>
      </w:pPr>
    </w:p>
    <w:p>
      <w:pPr>
        <w:pStyle w:val="3"/>
        <w:spacing w:before="11"/>
        <w:ind w:left="0"/>
        <w:rPr>
          <w:rFonts w:ascii="MS UI Gothic"/>
          <w:b/>
          <w:sz w:val="20"/>
        </w:rPr>
      </w:pPr>
    </w:p>
    <w:p>
      <w:pPr>
        <w:spacing w:after="0"/>
        <w:rPr>
          <w:rFonts w:ascii="MS UI Gothic"/>
          <w:sz w:val="20"/>
        </w:rPr>
        <w:sectPr>
          <w:headerReference r:id="rId3" w:type="default"/>
          <w:type w:val="continuous"/>
          <w:pgSz w:w="11900" w:h="16820"/>
          <w:pgMar w:top="660" w:right="1140" w:bottom="280" w:left="1680" w:header="720" w:footer="720" w:gutter="0"/>
        </w:sectPr>
      </w:pPr>
    </w:p>
    <w:p>
      <w:pPr>
        <w:pStyle w:val="3"/>
        <w:spacing w:before="8"/>
        <w:ind w:left="0"/>
        <w:rPr>
          <w:rFonts w:hint="eastAsia" w:asciiTheme="majorEastAsia" w:hAnsiTheme="majorEastAsia" w:eastAsiaTheme="majorEastAsia" w:cstheme="majorEastAsia"/>
          <w:b/>
          <w:sz w:val="4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产品简</w:t>
      </w:r>
      <w:r>
        <w:rPr>
          <w:rFonts w:hint="eastAsia" w:asciiTheme="majorEastAsia" w:hAnsiTheme="majorEastAsia" w:eastAsiaTheme="majorEastAsia" w:cstheme="majorEastAsia"/>
          <w:lang w:eastAsia="zh-CN"/>
        </w:rPr>
        <w:t>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271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32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b/>
          <w:sz w:val="32"/>
        </w:rPr>
        <w:t>Russell 改良 Movat 五色套染染色液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2"/>
        </w:rPr>
        <w:sectPr>
          <w:type w:val="continuous"/>
          <w:pgSz w:w="11900" w:h="16820"/>
          <w:pgMar w:top="660" w:right="1140" w:bottom="280" w:left="1680" w:header="720" w:footer="720" w:gutter="0"/>
          <w:cols w:equalWidth="0" w:num="2">
            <w:col w:w="1604" w:space="40"/>
            <w:col w:w="743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440" w:firstLine="466"/>
        <w:jc w:val="both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结缔组织狭义上是指其含有的三种纤维：胶原纤维、网状纤维、弹力纤维。结缔组织染色方法亦有很多种，如 Masson 三色染色法、Van Gieson 染色法、Gomori 氨银法、Mallory 磷钨酸苏木素染色，然而以上染色方法只是侧重于某一两种组织的染色。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right="263" w:firstLine="466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Russell 改良 Movat 五色套染以其染色丰富、鲜艳而大受欢迎。该染色法主要用于显示动脉粥样硬化斑块。Weigert 苏木素用于染细胞核，藏红品红用于染细胞质， 藏红花染胶原组织，阿尔辛蓝染基质(蛋白聚糖)。由于该试剂盒操作过程复杂，其染色效果跟操作者经验和数量程度有很大关系，所以同时染出十分满意的结果并不容易。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spacing w:before="15"/>
        <w:ind w:left="0"/>
        <w:rPr>
          <w:b/>
          <w:sz w:val="23"/>
        </w:rPr>
      </w:pPr>
    </w:p>
    <w:tbl>
      <w:tblPr>
        <w:tblStyle w:val="6"/>
        <w:tblW w:w="6454" w:type="dxa"/>
        <w:tblInd w:w="1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5"/>
        <w:gridCol w:w="1483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3885" w:type="dxa"/>
          </w:tcPr>
          <w:p>
            <w:pPr>
              <w:pStyle w:val="11"/>
              <w:spacing w:line="357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组成</w:t>
            </w:r>
          </w:p>
          <w:p>
            <w:pPr>
              <w:pStyle w:val="11"/>
              <w:spacing w:before="23"/>
              <w:ind w:left="50"/>
              <w:rPr>
                <w:sz w:val="21"/>
              </w:rPr>
            </w:pPr>
            <w:r>
              <w:rPr>
                <w:sz w:val="21"/>
              </w:rPr>
              <w:t>试剂(A): 海波溶液</w:t>
            </w:r>
          </w:p>
          <w:p>
            <w:pPr>
              <w:pStyle w:val="11"/>
              <w:spacing w:before="21" w:line="366" w:lineRule="exact"/>
              <w:ind w:left="50"/>
              <w:rPr>
                <w:sz w:val="21"/>
              </w:rPr>
            </w:pPr>
            <w:r>
              <w:rPr>
                <w:sz w:val="21"/>
              </w:rPr>
              <w:t>试剂(B): 阿利新蓝染色液</w:t>
            </w:r>
          </w:p>
        </w:tc>
        <w:tc>
          <w:tcPr>
            <w:tcW w:w="1483" w:type="dxa"/>
          </w:tcPr>
          <w:p>
            <w:pPr>
              <w:pStyle w:val="11"/>
              <w:spacing w:line="332" w:lineRule="exact"/>
              <w:ind w:left="525" w:right="139"/>
              <w:jc w:val="center"/>
              <w:rPr>
                <w:sz w:val="21"/>
              </w:rPr>
            </w:pPr>
            <w:r>
              <w:rPr>
                <w:sz w:val="21"/>
              </w:rPr>
              <w:t>9×50ml</w:t>
            </w:r>
          </w:p>
          <w:p>
            <w:pPr>
              <w:pStyle w:val="11"/>
              <w:spacing w:before="21"/>
              <w:ind w:left="524" w:right="139"/>
              <w:jc w:val="center"/>
              <w:rPr>
                <w:sz w:val="21"/>
              </w:rPr>
            </w:pPr>
            <w:r>
              <w:rPr>
                <w:sz w:val="21"/>
              </w:rPr>
              <w:t>50ml</w:t>
            </w:r>
          </w:p>
          <w:p>
            <w:pPr>
              <w:pStyle w:val="11"/>
              <w:spacing w:before="47" w:line="366" w:lineRule="exact"/>
              <w:ind w:left="525" w:right="138"/>
              <w:jc w:val="center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1086" w:type="dxa"/>
          </w:tcPr>
          <w:p>
            <w:pPr>
              <w:pStyle w:val="11"/>
              <w:spacing w:before="10"/>
              <w:rPr>
                <w:b/>
                <w:sz w:val="20"/>
              </w:rPr>
            </w:pPr>
          </w:p>
          <w:p>
            <w:pPr>
              <w:pStyle w:val="11"/>
              <w:ind w:left="157"/>
              <w:rPr>
                <w:sz w:val="21"/>
              </w:rPr>
            </w:pPr>
            <w:r>
              <w:rPr>
                <w:sz w:val="21"/>
              </w:rPr>
              <w:t>RT</w:t>
            </w:r>
          </w:p>
          <w:p>
            <w:pPr>
              <w:pStyle w:val="11"/>
              <w:spacing w:before="21" w:line="366" w:lineRule="exact"/>
              <w:ind w:left="157"/>
              <w:rPr>
                <w:sz w:val="21"/>
              </w:rPr>
            </w:pPr>
            <w:r>
              <w:rPr>
                <w:sz w:val="21"/>
              </w:rPr>
              <w:t>4℃ 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885" w:type="dxa"/>
          </w:tcPr>
          <w:p>
            <w:pPr>
              <w:pStyle w:val="11"/>
              <w:spacing w:line="386" w:lineRule="exact"/>
              <w:ind w:left="50"/>
              <w:rPr>
                <w:sz w:val="21"/>
              </w:rPr>
            </w:pPr>
            <w:r>
              <w:rPr>
                <w:sz w:val="21"/>
              </w:rPr>
              <w:t>试剂(C): 碱性乙醇溶液</w:t>
            </w:r>
          </w:p>
        </w:tc>
        <w:tc>
          <w:tcPr>
            <w:tcW w:w="1483" w:type="dxa"/>
          </w:tcPr>
          <w:p>
            <w:pPr>
              <w:pStyle w:val="11"/>
              <w:spacing w:before="25" w:line="365" w:lineRule="exact"/>
              <w:ind w:right="296"/>
              <w:jc w:val="right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1086" w:type="dxa"/>
          </w:tcPr>
          <w:p>
            <w:pPr>
              <w:pStyle w:val="11"/>
              <w:spacing w:line="386" w:lineRule="exact"/>
              <w:ind w:left="157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885" w:type="dxa"/>
          </w:tcPr>
          <w:p>
            <w:pPr>
              <w:pStyle w:val="11"/>
              <w:tabs>
                <w:tab w:val="left" w:pos="1866"/>
              </w:tabs>
              <w:spacing w:line="385" w:lineRule="exact"/>
              <w:ind w:left="50"/>
              <w:rPr>
                <w:sz w:val="21"/>
              </w:rPr>
            </w:pPr>
            <w:r>
              <w:rPr>
                <w:sz w:val="21"/>
              </w:rPr>
              <w:t>试剂(D):Weigert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D1: Weigert A</w:t>
            </w:r>
          </w:p>
        </w:tc>
        <w:tc>
          <w:tcPr>
            <w:tcW w:w="1483" w:type="dxa"/>
          </w:tcPr>
          <w:p>
            <w:pPr>
              <w:pStyle w:val="11"/>
              <w:spacing w:before="24" w:line="365" w:lineRule="exact"/>
              <w:ind w:right="296"/>
              <w:jc w:val="right"/>
              <w:rPr>
                <w:sz w:val="21"/>
              </w:rPr>
            </w:pPr>
            <w:r>
              <w:rPr>
                <w:sz w:val="21"/>
              </w:rPr>
              <w:t>30ml</w:t>
            </w:r>
          </w:p>
        </w:tc>
        <w:tc>
          <w:tcPr>
            <w:tcW w:w="1086" w:type="dxa"/>
          </w:tcPr>
          <w:p>
            <w:pPr>
              <w:pStyle w:val="11"/>
              <w:spacing w:before="24" w:line="365" w:lineRule="exact"/>
              <w:ind w:left="157"/>
              <w:rPr>
                <w:sz w:val="21"/>
              </w:rPr>
            </w:pPr>
            <w:r>
              <w:rPr>
                <w:sz w:val="21"/>
              </w:rPr>
              <w:t>RT 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885" w:type="dxa"/>
          </w:tcPr>
          <w:p>
            <w:pPr>
              <w:pStyle w:val="11"/>
              <w:tabs>
                <w:tab w:val="left" w:pos="1905"/>
              </w:tabs>
              <w:spacing w:before="15" w:line="375" w:lineRule="exact"/>
              <w:ind w:left="50"/>
              <w:rPr>
                <w:sz w:val="21"/>
              </w:rPr>
            </w:pPr>
            <w:r>
              <w:rPr>
                <w:position w:val="1"/>
                <w:sz w:val="21"/>
              </w:rPr>
              <w:t>苏木素染色液</w:t>
            </w:r>
            <w:r>
              <w:rPr>
                <w:position w:val="1"/>
                <w:sz w:val="21"/>
              </w:rPr>
              <w:tab/>
            </w:r>
            <w:r>
              <w:rPr>
                <w:sz w:val="21"/>
              </w:rPr>
              <w:t>D2: Weigert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</w:p>
        </w:tc>
        <w:tc>
          <w:tcPr>
            <w:tcW w:w="1483" w:type="dxa"/>
          </w:tcPr>
          <w:p>
            <w:pPr>
              <w:pStyle w:val="11"/>
              <w:spacing w:before="25" w:line="365" w:lineRule="exact"/>
              <w:ind w:right="296"/>
              <w:jc w:val="right"/>
              <w:rPr>
                <w:sz w:val="21"/>
              </w:rPr>
            </w:pPr>
            <w:r>
              <w:rPr>
                <w:sz w:val="21"/>
              </w:rPr>
              <w:t>20ml</w:t>
            </w:r>
          </w:p>
        </w:tc>
        <w:tc>
          <w:tcPr>
            <w:tcW w:w="1086" w:type="dxa"/>
          </w:tcPr>
          <w:p>
            <w:pPr>
              <w:pStyle w:val="11"/>
              <w:spacing w:line="385" w:lineRule="exact"/>
              <w:ind w:left="157"/>
              <w:rPr>
                <w:sz w:val="21"/>
              </w:rPr>
            </w:pPr>
            <w:r>
              <w:rPr>
                <w:sz w:val="21"/>
              </w:rPr>
              <w:t>RT 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85" w:type="dxa"/>
          </w:tcPr>
          <w:p>
            <w:pPr>
              <w:pStyle w:val="11"/>
              <w:spacing w:line="337" w:lineRule="exact"/>
              <w:ind w:left="1906"/>
              <w:rPr>
                <w:sz w:val="21"/>
              </w:rPr>
            </w:pPr>
            <w:r>
              <w:rPr>
                <w:sz w:val="21"/>
              </w:rPr>
              <w:t>D3: Weigert C</w:t>
            </w:r>
          </w:p>
        </w:tc>
        <w:tc>
          <w:tcPr>
            <w:tcW w:w="1483" w:type="dxa"/>
          </w:tcPr>
          <w:p>
            <w:pPr>
              <w:pStyle w:val="11"/>
              <w:spacing w:before="25" w:line="312" w:lineRule="exact"/>
              <w:ind w:right="296"/>
              <w:jc w:val="right"/>
              <w:rPr>
                <w:sz w:val="21"/>
              </w:rPr>
            </w:pPr>
            <w:r>
              <w:rPr>
                <w:sz w:val="21"/>
              </w:rPr>
              <w:t>10ml</w:t>
            </w:r>
          </w:p>
        </w:tc>
        <w:tc>
          <w:tcPr>
            <w:tcW w:w="1086" w:type="dxa"/>
          </w:tcPr>
          <w:p>
            <w:pPr>
              <w:pStyle w:val="11"/>
              <w:spacing w:line="337" w:lineRule="exact"/>
              <w:ind w:left="157"/>
              <w:rPr>
                <w:sz w:val="21"/>
              </w:rPr>
            </w:pPr>
            <w:r>
              <w:rPr>
                <w:sz w:val="21"/>
              </w:rPr>
              <w:t>RT 避 光</w:t>
            </w:r>
          </w:p>
        </w:tc>
      </w:tr>
    </w:tbl>
    <w:p>
      <w:pPr>
        <w:pStyle w:val="3"/>
        <w:spacing w:before="79"/>
        <w:ind w:left="1265" w:right="1045"/>
        <w:jc w:val="center"/>
      </w:pPr>
      <w:r>
        <w:t>临用时, 按 D1:D2:D3=3:2:1 混合即为 Weigert 苏木素，不可预先配制。</w:t>
      </w:r>
      <w:bookmarkStart w:id="0" w:name="_GoBack"/>
      <w:bookmarkEnd w:id="0"/>
    </w:p>
    <w:p>
      <w:pPr>
        <w:pStyle w:val="3"/>
        <w:tabs>
          <w:tab w:val="left" w:pos="1875"/>
          <w:tab w:val="left" w:pos="4520"/>
          <w:tab w:val="left" w:pos="5475"/>
        </w:tabs>
        <w:spacing w:before="20"/>
        <w:ind w:left="0" w:right="290"/>
        <w:jc w:val="center"/>
      </w:pPr>
      <w:r>
        <w:t>试剂(E):藏红品红</w:t>
      </w:r>
      <w:r>
        <w:tab/>
      </w:r>
      <w:r>
        <w:t>E1: 藏红品红</w:t>
      </w:r>
      <w:r>
        <w:rPr>
          <w:spacing w:val="61"/>
        </w:rPr>
        <w:t xml:space="preserve"> </w:t>
      </w:r>
      <w:r>
        <w:t>A</w:t>
      </w:r>
      <w:r>
        <w:tab/>
      </w:r>
      <w:r>
        <w:t>40ml</w:t>
      </w:r>
      <w:r>
        <w:tab/>
      </w:r>
      <w:r>
        <w:t>RT</w:t>
      </w:r>
      <w:r>
        <w:rPr>
          <w:spacing w:val="-1"/>
        </w:rPr>
        <w:t xml:space="preserve"> </w:t>
      </w:r>
      <w:r>
        <w:t>避 光</w:t>
      </w:r>
    </w:p>
    <w:p>
      <w:pPr>
        <w:spacing w:after="0"/>
        <w:jc w:val="center"/>
        <w:sectPr>
          <w:type w:val="continuous"/>
          <w:pgSz w:w="11900" w:h="16820"/>
          <w:pgMar w:top="660" w:right="1140" w:bottom="280" w:left="1680" w:header="720" w:footer="720" w:gutter="0"/>
        </w:sectPr>
      </w:pPr>
    </w:p>
    <w:p>
      <w:pPr>
        <w:pStyle w:val="3"/>
        <w:tabs>
          <w:tab w:val="left" w:pos="3110"/>
        </w:tabs>
        <w:spacing w:before="13"/>
        <w:ind w:left="1255"/>
      </w:pPr>
      <w:r>
        <w:rPr>
          <w:position w:val="1"/>
        </w:rPr>
        <w:t>染色液</w:t>
      </w:r>
      <w:r>
        <w:rPr>
          <w:position w:val="1"/>
        </w:rPr>
        <w:tab/>
      </w:r>
      <w:r>
        <w:t>E2:</w:t>
      </w:r>
      <w:r>
        <w:rPr>
          <w:spacing w:val="60"/>
        </w:rPr>
        <w:t xml:space="preserve"> </w:t>
      </w:r>
      <w:r>
        <w:t>藏红品红</w:t>
      </w:r>
      <w:r>
        <w:rPr>
          <w:spacing w:val="61"/>
        </w:rPr>
        <w:t xml:space="preserve"> </w:t>
      </w:r>
      <w:r>
        <w:rPr>
          <w:spacing w:val="-17"/>
        </w:rPr>
        <w:t>B</w:t>
      </w:r>
    </w:p>
    <w:p>
      <w:pPr>
        <w:pStyle w:val="3"/>
        <w:spacing w:line="385" w:lineRule="exact"/>
        <w:ind w:left="0"/>
        <w:jc w:val="right"/>
      </w:pPr>
      <w:r>
        <w:br w:type="column"/>
      </w:r>
      <w:r>
        <w:t>10ml</w:t>
      </w:r>
    </w:p>
    <w:p>
      <w:pPr>
        <w:pStyle w:val="3"/>
        <w:spacing w:line="385" w:lineRule="exact"/>
        <w:ind w:left="416"/>
      </w:pPr>
      <w:r>
        <w:br w:type="column"/>
      </w:r>
      <w:r>
        <w:t>RT 避 光</w:t>
      </w:r>
    </w:p>
    <w:p>
      <w:pPr>
        <w:spacing w:after="0" w:line="385" w:lineRule="exact"/>
        <w:sectPr>
          <w:type w:val="continuous"/>
          <w:pgSz w:w="11900" w:h="16820"/>
          <w:pgMar w:top="660" w:right="1140" w:bottom="280" w:left="1680" w:header="720" w:footer="720" w:gutter="0"/>
          <w:cols w:equalWidth="0" w:num="3">
            <w:col w:w="4620" w:space="40"/>
            <w:col w:w="1616" w:space="39"/>
            <w:col w:w="2765"/>
          </w:cols>
        </w:sectPr>
      </w:pPr>
    </w:p>
    <w:p>
      <w:pPr>
        <w:pStyle w:val="3"/>
        <w:spacing w:before="23"/>
        <w:ind w:left="649" w:right="1045"/>
        <w:jc w:val="center"/>
      </w:pPr>
      <w:r>
        <w:t>临用时, 按 E1:E2 =4:1 混合即为藏红品红染色液，不可预先配制。</w:t>
      </w:r>
    </w:p>
    <w:p>
      <w:pPr>
        <w:pStyle w:val="3"/>
        <w:spacing w:before="5"/>
        <w:ind w:left="0"/>
        <w:rPr>
          <w:sz w:val="4"/>
        </w:rPr>
      </w:pPr>
    </w:p>
    <w:tbl>
      <w:tblPr>
        <w:tblStyle w:val="6"/>
        <w:tblW w:w="6375" w:type="dxa"/>
        <w:tblInd w:w="1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4"/>
        <w:gridCol w:w="1865"/>
        <w:gridCol w:w="515"/>
        <w:gridCol w:w="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464" w:type="dxa"/>
          </w:tcPr>
          <w:p>
            <w:pPr>
              <w:pStyle w:val="11"/>
              <w:spacing w:line="311" w:lineRule="exact"/>
              <w:ind w:left="50"/>
              <w:rPr>
                <w:sz w:val="21"/>
              </w:rPr>
            </w:pPr>
            <w:r>
              <w:rPr>
                <w:sz w:val="21"/>
              </w:rPr>
              <w:t>试剂(F): 磷钨酸溶液</w:t>
            </w:r>
          </w:p>
        </w:tc>
        <w:tc>
          <w:tcPr>
            <w:tcW w:w="1865" w:type="dxa"/>
          </w:tcPr>
          <w:p>
            <w:pPr>
              <w:pStyle w:val="11"/>
              <w:spacing w:line="311" w:lineRule="exact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515" w:type="dxa"/>
          </w:tcPr>
          <w:p>
            <w:pPr>
              <w:pStyle w:val="11"/>
              <w:spacing w:line="311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1" w:type="dxa"/>
          </w:tcPr>
          <w:p>
            <w:pPr>
              <w:pStyle w:val="11"/>
              <w:spacing w:line="311" w:lineRule="exact"/>
              <w:ind w:left="43" w:right="28"/>
              <w:jc w:val="center"/>
              <w:rPr>
                <w:sz w:val="21"/>
              </w:rPr>
            </w:pPr>
            <w:r>
              <w:rPr>
                <w:sz w:val="21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64" w:type="dxa"/>
          </w:tcPr>
          <w:p>
            <w:pPr>
              <w:pStyle w:val="11"/>
              <w:spacing w:line="377" w:lineRule="exact"/>
              <w:ind w:left="50"/>
              <w:rPr>
                <w:sz w:val="21"/>
              </w:rPr>
            </w:pPr>
            <w:r>
              <w:rPr>
                <w:sz w:val="21"/>
              </w:rPr>
              <w:t>试剂(G): 弱酸分化液</w:t>
            </w:r>
          </w:p>
        </w:tc>
        <w:tc>
          <w:tcPr>
            <w:tcW w:w="1865" w:type="dxa"/>
          </w:tcPr>
          <w:p>
            <w:pPr>
              <w:pStyle w:val="11"/>
              <w:spacing w:line="377" w:lineRule="exact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515" w:type="dxa"/>
          </w:tcPr>
          <w:p>
            <w:pPr>
              <w:pStyle w:val="11"/>
              <w:spacing w:line="377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64" w:type="dxa"/>
          </w:tcPr>
          <w:p>
            <w:pPr>
              <w:pStyle w:val="11"/>
              <w:spacing w:before="11"/>
              <w:ind w:left="50"/>
              <w:rPr>
                <w:sz w:val="21"/>
              </w:rPr>
            </w:pPr>
            <w:r>
              <w:rPr>
                <w:sz w:val="21"/>
              </w:rPr>
              <w:t>试剂(H): 醇藏红花染色液</w:t>
            </w:r>
          </w:p>
        </w:tc>
        <w:tc>
          <w:tcPr>
            <w:tcW w:w="1865" w:type="dxa"/>
          </w:tcPr>
          <w:p>
            <w:pPr>
              <w:pStyle w:val="11"/>
              <w:spacing w:before="1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515" w:type="dxa"/>
          </w:tcPr>
          <w:p>
            <w:pPr>
              <w:pStyle w:val="11"/>
              <w:spacing w:before="37" w:line="365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1" w:type="dxa"/>
          </w:tcPr>
          <w:p>
            <w:pPr>
              <w:pStyle w:val="11"/>
              <w:spacing w:before="37" w:line="365" w:lineRule="exact"/>
              <w:ind w:left="43" w:right="28"/>
              <w:jc w:val="center"/>
              <w:rPr>
                <w:sz w:val="21"/>
              </w:rPr>
            </w:pPr>
            <w:r>
              <w:rPr>
                <w:sz w:val="21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464" w:type="dxa"/>
          </w:tcPr>
          <w:p>
            <w:pPr>
              <w:pStyle w:val="11"/>
              <w:spacing w:line="310" w:lineRule="exact"/>
              <w:ind w:left="50"/>
              <w:rPr>
                <w:sz w:val="21"/>
              </w:rPr>
            </w:pPr>
            <w:r>
              <w:rPr>
                <w:sz w:val="21"/>
              </w:rPr>
              <w:t>试剂(I): Bouin 固定液</w:t>
            </w:r>
          </w:p>
        </w:tc>
        <w:tc>
          <w:tcPr>
            <w:tcW w:w="1865" w:type="dxa"/>
          </w:tcPr>
          <w:p>
            <w:pPr>
              <w:pStyle w:val="11"/>
              <w:spacing w:line="310" w:lineRule="exact"/>
              <w:ind w:right="194"/>
              <w:jc w:val="right"/>
              <w:rPr>
                <w:sz w:val="21"/>
              </w:rPr>
            </w:pPr>
            <w:r>
              <w:rPr>
                <w:sz w:val="21"/>
              </w:rPr>
              <w:t>250ml</w:t>
            </w:r>
          </w:p>
        </w:tc>
        <w:tc>
          <w:tcPr>
            <w:tcW w:w="515" w:type="dxa"/>
          </w:tcPr>
          <w:p>
            <w:pPr>
              <w:pStyle w:val="11"/>
              <w:spacing w:line="310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1" w:type="dxa"/>
          </w:tcPr>
          <w:p>
            <w:pPr>
              <w:pStyle w:val="11"/>
              <w:spacing w:line="310" w:lineRule="exact"/>
              <w:ind w:left="43" w:right="28"/>
              <w:jc w:val="center"/>
              <w:rPr>
                <w:sz w:val="21"/>
              </w:rPr>
            </w:pPr>
            <w:r>
              <w:rPr>
                <w:sz w:val="21"/>
              </w:rPr>
              <w:t>避光</w:t>
            </w:r>
          </w:p>
        </w:tc>
      </w:tr>
    </w:tbl>
    <w:p>
      <w:pPr>
        <w:pStyle w:val="3"/>
        <w:ind w:left="0"/>
        <w:rPr>
          <w:sz w:val="28"/>
        </w:rPr>
      </w:pPr>
    </w:p>
    <w:p>
      <w:pPr>
        <w:pStyle w:val="3"/>
        <w:spacing w:before="9"/>
        <w:ind w:left="0"/>
        <w:rPr>
          <w:sz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1、系列乙醇、蒸馏水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2、微波炉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8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type w:val="continuous"/>
          <w:pgSz w:w="11900" w:h="16820"/>
          <w:pgMar w:top="660" w:right="1140" w:bottom="280" w:left="1680" w:header="720" w:footer="720" w:gutter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2" w:line="350" w:lineRule="exact"/>
        <w:ind w:left="403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1、石蜡切片常规脱蜡，系列乙醇水化。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2、取适量 Bouin 固定液放入微波炉中，中度加热 30～60s, 立即放入切片处理 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3、流水冲洗 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4、切片入海波溶液处理 5min, 蒸馏水冲洗 2～3 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5、切片入阿利新蓝染色液中染色 20min，流水冲洗 2～5min。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6、用微波炉强火 45～60℃预热碱性乙醇溶液后, 将切片入碱性乙醇溶液中处理 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7、流水冲洗 2～5 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7、切片入预先配制好的试剂(D)-Weigert 苏木素染色液中, 避光染色 60min。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8、流水稍冲洗, 蒸馏水冲洗 2～3 次, 每次 3～5min。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9、切片入预先配制好的试剂(E)-藏红品红染色液中, 避光染色 1 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10、蒸馏水冲洗 2～3 次, 每次 3～5min。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11、将切片入磷钨酸溶液中处理 5min，直接转入弱酸分化液中处理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12、蒸馏水冲洗 2～3 次, 每次 3～5min。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13、脱水: 95%乙醇 1min, 100%乙醇 2 次, 每次 1min。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14、将切片入藏红花染色液中，染色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15、脱水: 无水乙醇 2 次, 每次 1 min。二甲苯透明, 覆盖玻片。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pgSz w:w="11900" w:h="16820"/>
          <w:pgMar w:top="1600" w:right="114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染色结</w:t>
      </w:r>
      <w:r>
        <w:rPr>
          <w:rFonts w:hint="eastAsia" w:asciiTheme="majorEastAsia" w:hAnsiTheme="majorEastAsia" w:eastAsiaTheme="majorEastAsia" w:cstheme="majorEastAsia"/>
          <w:lang w:eastAsia="zh-CN"/>
        </w:rPr>
        <w:t>果：</w:t>
      </w:r>
    </w:p>
    <w:p>
      <w:pPr>
        <w:pStyle w:val="3"/>
        <w:spacing w:before="8"/>
        <w:ind w:left="0"/>
        <w:rPr>
          <w:b/>
          <w:sz w:val="26"/>
        </w:rPr>
      </w:pPr>
      <w:r>
        <w:br w:type="column"/>
      </w:r>
    </w:p>
    <w:p>
      <w:pPr>
        <w:pStyle w:val="3"/>
        <w:spacing w:line="244" w:lineRule="auto"/>
        <w:ind w:left="39" w:right="38"/>
      </w:pPr>
      <w:r>
        <w:t xml:space="preserve">细胞核和弹力纤维 </w:t>
      </w:r>
      <w:r>
        <w:rPr>
          <w:spacing w:val="-2"/>
        </w:rPr>
        <w:t>胶原蛋白和网状纤维</w:t>
      </w:r>
      <w:r>
        <w:t>蛋白聚糖</w:t>
      </w:r>
    </w:p>
    <w:p>
      <w:pPr>
        <w:pStyle w:val="3"/>
        <w:spacing w:before="47" w:line="237" w:lineRule="auto"/>
        <w:ind w:left="39" w:right="248"/>
      </w:pPr>
      <w:r>
        <w:t>类纤维素、纤维素心肌平滑肌</w:t>
      </w:r>
    </w:p>
    <w:p>
      <w:pPr>
        <w:pStyle w:val="3"/>
        <w:spacing w:before="8"/>
        <w:ind w:left="0"/>
        <w:rPr>
          <w:sz w:val="26"/>
        </w:rPr>
      </w:pPr>
      <w:r>
        <w:br w:type="column"/>
      </w:r>
    </w:p>
    <w:p>
      <w:pPr>
        <w:pStyle w:val="3"/>
        <w:spacing w:line="249" w:lineRule="auto"/>
        <w:ind w:right="3895"/>
      </w:pPr>
      <w:r>
        <w:t>黑 色 黄 色 蓝绿色深红色红色</w:t>
      </w:r>
    </w:p>
    <w:p>
      <w:pPr>
        <w:spacing w:after="0" w:line="249" w:lineRule="auto"/>
        <w:sectPr>
          <w:type w:val="continuous"/>
          <w:pgSz w:w="11900" w:h="16820"/>
          <w:pgMar w:top="660" w:right="1140" w:bottom="280" w:left="1680" w:header="720" w:footer="720" w:gutter="0"/>
          <w:cols w:equalWidth="0" w:num="3">
            <w:col w:w="1604" w:space="40"/>
            <w:col w:w="1970" w:space="537"/>
            <w:col w:w="4929"/>
          </w:cols>
        </w:sectPr>
      </w:pPr>
    </w:p>
    <w:p>
      <w:pPr>
        <w:pStyle w:val="3"/>
        <w:tabs>
          <w:tab w:val="left" w:pos="4553"/>
        </w:tabs>
        <w:spacing w:before="37"/>
        <w:ind w:left="1682"/>
      </w:pPr>
      <w:r>
        <w:t>泡沫细胞</w:t>
      </w:r>
      <w:r>
        <w:tab/>
      </w:r>
      <w:r>
        <w:t>紫色</w:t>
      </w:r>
    </w:p>
    <w:p>
      <w:pPr>
        <w:pStyle w:val="3"/>
        <w:spacing w:before="14"/>
        <w:ind w:left="0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0"/>
        </w:rPr>
        <w:t xml:space="preserve">1、 </w:t>
      </w:r>
      <w:r>
        <w:rPr>
          <w:rFonts w:hint="eastAsia" w:asciiTheme="majorEastAsia" w:hAnsiTheme="majorEastAsia" w:eastAsiaTheme="majorEastAsia" w:cstheme="majorEastAsia"/>
        </w:rPr>
        <w:t>由于染色力以及组织切片等原因，染色后未必显示出全部五种颜色。注意做防脱片处理。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0"/>
        </w:rPr>
        <w:t xml:space="preserve">2、 </w:t>
      </w:r>
      <w:r>
        <w:rPr>
          <w:rFonts w:hint="eastAsia" w:asciiTheme="majorEastAsia" w:hAnsiTheme="majorEastAsia" w:eastAsiaTheme="majorEastAsia" w:cstheme="majorEastAsia"/>
        </w:rPr>
        <w:t>切片厚度一般要求 5μm 左右</w:t>
      </w:r>
      <w:r>
        <w:rPr>
          <w:rFonts w:hint="eastAsia" w:asciiTheme="majorEastAsia" w:hAnsiTheme="majorEastAsia" w:eastAsiaTheme="majorEastAsia" w:cstheme="majorEastAsia"/>
          <w:sz w:val="20"/>
        </w:rPr>
        <w:t>，</w:t>
      </w:r>
      <w:r>
        <w:rPr>
          <w:rFonts w:hint="eastAsia" w:asciiTheme="majorEastAsia" w:hAnsiTheme="majorEastAsia" w:eastAsiaTheme="majorEastAsia" w:cstheme="majorEastAsia"/>
        </w:rPr>
        <w:t>弹力纤维分化通常在 2～3min 内完成。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3、流水冲洗以除去 Weigert 苏木素染色液非常重要，若冲洗失败会抑制后续的染色步骤。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4、这种染色法可显示新型隐球菌，将其染成亮蓝色。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keepNext w:val="0"/>
        <w:keepLines w:val="0"/>
        <w:pageBreakBefore w:val="0"/>
        <w:widowControl w:val="0"/>
        <w:tabs>
          <w:tab w:val="left" w:pos="1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有效期：</w:t>
      </w:r>
      <w:r>
        <w:rPr>
          <w:rFonts w:hint="eastAsia" w:asciiTheme="majorEastAsia" w:hAnsiTheme="majorEastAsia" w:eastAsiaTheme="majorEastAsia" w:cstheme="majorEastAsia"/>
          <w:b/>
          <w:sz w:val="24"/>
        </w:rPr>
        <w:tab/>
      </w:r>
      <w:r>
        <w:rPr>
          <w:rFonts w:hint="eastAsia" w:asciiTheme="majorEastAsia" w:hAnsiTheme="majorEastAsia" w:eastAsiaTheme="majorEastAsia" w:cstheme="majorEastAsia"/>
          <w:sz w:val="21"/>
        </w:rPr>
        <w:t>6</w:t>
      </w:r>
      <w:r>
        <w:rPr>
          <w:rFonts w:hint="eastAsia" w:asciiTheme="majorEastAsia" w:hAnsiTheme="majorEastAsia" w:eastAsiaTheme="majorEastAsia" w:cstheme="majorEastAsia"/>
          <w:spacing w:val="61"/>
          <w:sz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</w:rPr>
        <w:t>个月有效。</w:t>
      </w:r>
    </w:p>
    <w:sectPr>
      <w:type w:val="continuous"/>
      <w:pgSz w:w="11900" w:h="16820"/>
      <w:pgMar w:top="66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58899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3792855</wp:posOffset>
              </wp:positionH>
              <wp:positionV relativeFrom="paragraph">
                <wp:posOffset>26670</wp:posOffset>
              </wp:positionV>
              <wp:extent cx="1971675" cy="857250"/>
              <wp:effectExtent l="0" t="0" r="9525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9655" y="496570"/>
                        <a:ext cx="19716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65pt;margin-top:2.1pt;height:67.5pt;width:155.25pt;z-index:251658240;mso-width-relative:page;mso-height-relative:page;" fillcolor="#FFFFFF" filled="t" stroked="f" coordsize="21600,21600" o:gfxdata="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mVMAXXAAAACQEAAA8AAAAAAAAAAQAgAAAAIgAAAGRycy9kb3du&#10;cmV2LnhtbFBLAQIUABQAAAAIAIdO4kDYNdE8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0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微软雅黑" w:hAnsi="微软雅黑" w:eastAsia="微软雅黑" w:cs="微软雅黑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3"/>
    </w:pPr>
    <w:rPr>
      <w:rFonts w:ascii="微软雅黑" w:hAnsi="微软雅黑" w:eastAsia="微软雅黑" w:cs="微软雅黑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2019-08-07T08:22:00Z</dcterms:created>
  <dc:creator>Administrator</dc:creator>
  <cp:lastModifiedBy>Cute  princess</cp:lastModifiedBy>
  <dcterms:modified xsi:type="dcterms:W3CDTF">2019-08-07T08:53:09Z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2019-08-07T00:00:00Z</vt:filetime>
  </property>
  <property fmtid="{D5CDD505-2E9C-101B-9397-08002B2CF9AE}" pid="5" name="KSOProductBuildVer">
    <vt:lpwstr>2052-11.1.0.8894</vt:lpwstr>
  </property>
</Properties>
</file>