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ascii="Times New Roman"/>
          <w:sz w:val="2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941705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170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1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pHJ&#10;ftgAAAAMAQAADwAAAAAAAAABACAAAAAiAAAAZHJzL2Rvd25yZXYueG1sUEsBAhQAFAAAAAgAh07i&#10;QDAEAFT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spacing w:before="10"/>
        <w:ind w:left="0"/>
        <w:rPr>
          <w:rFonts w:ascii="Times New Roman"/>
          <w:sz w:val="29"/>
        </w:rPr>
      </w:pPr>
    </w:p>
    <w:p>
      <w:pPr>
        <w:pStyle w:val="3"/>
        <w:spacing w:before="10"/>
        <w:ind w:left="0"/>
        <w:rPr>
          <w:rFonts w:ascii="Times New Roman"/>
          <w:sz w:val="29"/>
        </w:rPr>
      </w:pPr>
    </w:p>
    <w:p>
      <w:pPr>
        <w:spacing w:before="113"/>
        <w:ind w:left="218" w:right="0" w:firstLine="1807" w:firstLineChars="600"/>
        <w:jc w:val="both"/>
        <w:rPr>
          <w:rFonts w:ascii="Times New Roman"/>
          <w:sz w:val="29"/>
        </w:rPr>
      </w:pPr>
      <w:r>
        <w:rPr>
          <w:b/>
          <w:sz w:val="30"/>
        </w:rPr>
        <w:t>葡萄糖检测试剂盒(邻甲苯胺比色法)</w:t>
      </w:r>
      <w:bookmarkStart w:id="0" w:name="_GoBack"/>
      <w:bookmarkEnd w:id="0"/>
    </w:p>
    <w:p>
      <w:pPr>
        <w:pStyle w:val="2"/>
      </w:pPr>
      <w:r>
        <w:t>产品简介：</w:t>
      </w:r>
    </w:p>
    <w:p>
      <w:pPr>
        <w:pStyle w:val="3"/>
        <w:spacing w:before="27" w:line="278" w:lineRule="auto"/>
        <w:ind w:right="105" w:firstLine="419"/>
      </w:pPr>
      <w:r>
        <w:rPr>
          <w:spacing w:val="-1"/>
        </w:rPr>
        <w:t>葡萄糖</w:t>
      </w:r>
      <w:r>
        <w:t>(Glucose</w:t>
      </w:r>
      <w:r>
        <w:rPr>
          <w:spacing w:val="43"/>
        </w:rPr>
        <w:t xml:space="preserve">, </w:t>
      </w:r>
      <w:r>
        <w:t>Dextrose，Glu</w:t>
      </w:r>
      <w:r>
        <w:rPr>
          <w:spacing w:val="-3"/>
        </w:rPr>
        <w:t>)又称玉米葡糖，简称葡糖，化学式</w:t>
      </w:r>
      <w:r>
        <w:t>C</w:t>
      </w:r>
      <w:r>
        <w:rPr>
          <w:sz w:val="14"/>
        </w:rPr>
        <w:t>6</w:t>
      </w:r>
      <w:r>
        <w:t>H</w:t>
      </w:r>
      <w:r>
        <w:rPr>
          <w:sz w:val="14"/>
        </w:rPr>
        <w:t>12</w:t>
      </w:r>
      <w:r>
        <w:t>O</w:t>
      </w:r>
      <w:r>
        <w:rPr>
          <w:sz w:val="14"/>
        </w:rPr>
        <w:t>6</w:t>
      </w:r>
      <w:r>
        <w:t>，分子量为180.16</w:t>
      </w:r>
      <w:r>
        <w:rPr>
          <w:spacing w:val="-3"/>
        </w:rPr>
        <w:t>，是自然界分布最广、最重要的一种单糖，属于多羟基醛。用酶学方法测定葡萄 糖</w:t>
      </w:r>
      <w:r>
        <w:rPr>
          <w:spacing w:val="-14"/>
        </w:rPr>
        <w:t xml:space="preserve">是生化检测中的常用方法，最常用的有葡萄糖氧化酶法、己糖激酶法，上述酶学法特点是： </w:t>
      </w:r>
      <w:r>
        <w:t>1</w:t>
      </w:r>
      <w:r>
        <w:rPr>
          <w:spacing w:val="-3"/>
        </w:rPr>
        <w:t>、灵敏度、准确度、精密度均高；</w:t>
      </w:r>
      <w:r>
        <w:t>2</w:t>
      </w:r>
      <w:r>
        <w:rPr>
          <w:spacing w:val="-3"/>
        </w:rPr>
        <w:t>、使用温和的反应条件；</w:t>
      </w:r>
      <w:r>
        <w:t>3</w:t>
      </w:r>
      <w:r>
        <w:rPr>
          <w:spacing w:val="-3"/>
        </w:rPr>
        <w:t>、操作简便；</w:t>
      </w:r>
      <w:r>
        <w:t>4</w:t>
      </w:r>
      <w:r>
        <w:rPr>
          <w:spacing w:val="-1"/>
        </w:rPr>
        <w:t>、适用于自 动</w:t>
      </w:r>
      <w:r>
        <w:rPr>
          <w:spacing w:val="-3"/>
        </w:rPr>
        <w:t>分析仪。测定葡萄糖亦可通过邻甲苯胺法、苯胺法、联苯胺法等实现。</w:t>
      </w:r>
    </w:p>
    <w:p>
      <w:pPr>
        <w:pStyle w:val="3"/>
        <w:spacing w:line="268" w:lineRule="exact"/>
        <w:ind w:left="743"/>
      </w:pPr>
      <w:r>
        <w:t>葡萄糖检测试剂盒(邻甲苯胺比色法)检测原理是葡萄糖在加热的有机酸中脱</w:t>
      </w:r>
    </w:p>
    <w:p>
      <w:pPr>
        <w:pStyle w:val="3"/>
        <w:spacing w:before="43" w:line="278" w:lineRule="auto"/>
        <w:ind w:right="122"/>
      </w:pPr>
      <w:r>
        <w:rPr>
          <w:spacing w:val="-3"/>
        </w:rPr>
        <w:t>水后能与邻甲苯胺缩合呈雪夫氏碱，后者呈蓝绿色，其最高吸收峰为</w:t>
      </w:r>
      <w:r>
        <w:t>630nm</w:t>
      </w:r>
      <w:r>
        <w:rPr>
          <w:spacing w:val="6"/>
        </w:rPr>
        <w:t xml:space="preserve"> 颜色深浅与葡</w:t>
      </w:r>
      <w:r>
        <w:rPr>
          <w:spacing w:val="-9"/>
        </w:rPr>
        <w:t>萄糖含量成正比，经分光光度计与标准品进行对比求得葡萄糖量。本试剂盒专门用于人或动</w:t>
      </w:r>
      <w:r>
        <w:rPr>
          <w:spacing w:val="-5"/>
        </w:rPr>
        <w:t>物的血清、血浆、脑脊液、细胞、组织等样本中的葡萄糖含量定量测定。本试剂盒的特点： 1</w:t>
      </w:r>
      <w:r>
        <w:rPr>
          <w:spacing w:val="-3"/>
        </w:rPr>
        <w:t>、特异性高，其测定结果为真糖值；</w:t>
      </w:r>
      <w:r>
        <w:t>2</w:t>
      </w:r>
      <w:r>
        <w:rPr>
          <w:spacing w:val="-3"/>
        </w:rPr>
        <w:t>、不受还原物质干扰；</w:t>
      </w:r>
      <w:r>
        <w:t>3</w:t>
      </w:r>
      <w:r>
        <w:rPr>
          <w:spacing w:val="-3"/>
        </w:rPr>
        <w:t>、无需去除血浆或血清中的蛋白质。本试剂盒仅用于科研领域，不宜用于临床诊断或其他用途。</w:t>
      </w:r>
    </w:p>
    <w:p>
      <w:pPr>
        <w:pStyle w:val="2"/>
        <w:spacing w:after="5" w:line="285" w:lineRule="exact"/>
      </w:pPr>
      <w:r>
        <mc:AlternateContent>
          <mc:Choice Requires="wps">
            <w:drawing>
              <wp:anchor distT="0" distB="0" distL="114300" distR="114300" simplePos="0" relativeHeight="251404288" behindDoc="1" locked="0" layoutInCell="1" allowOverlap="1">
                <wp:simplePos x="0" y="0"/>
                <wp:positionH relativeFrom="page">
                  <wp:posOffset>2225675</wp:posOffset>
                </wp:positionH>
                <wp:positionV relativeFrom="paragraph">
                  <wp:posOffset>189230</wp:posOffset>
                </wp:positionV>
                <wp:extent cx="1973580" cy="396240"/>
                <wp:effectExtent l="635" t="4445" r="6985" b="18415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3580" cy="39624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75.25pt;margin-top:14.9pt;height:31.2pt;width:155.4pt;mso-position-horizontal-relative:page;z-index:-251912192;mso-width-relative:page;mso-height-relative:page;" filled="f" stroked="t" coordsize="21600,21600" o:gfxdata="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dyv/fZAAAACQEAAA8AAAAAAAAAAQAg&#10;AAAAIgAAAGRycy9kb3ducmV2LnhtbFBLAQIUABQAAAAIAIdO4kAZx0ds1AEAAJIDAAAOAAAAAAAA&#10;AAEAIAAAACgBAABkcnMvZTJvRG9jLnhtbFBLBQYAAAAABgAGAFkBAABu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w w:val="95"/>
        </w:rPr>
        <w:t>产品组成：</w:t>
      </w:r>
    </w:p>
    <w:tbl>
      <w:tblPr>
        <w:tblStyle w:val="5"/>
        <w:tblW w:w="5027" w:type="dxa"/>
        <w:tblInd w:w="19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8"/>
        <w:gridCol w:w="962"/>
        <w:gridCol w:w="9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118" w:type="dxa"/>
          </w:tcPr>
          <w:p>
            <w:pPr>
              <w:pStyle w:val="10"/>
              <w:spacing w:before="25"/>
              <w:ind w:left="2517"/>
              <w:rPr>
                <w:b/>
                <w:sz w:val="20"/>
              </w:rPr>
            </w:pPr>
            <w:r>
              <w:rPr>
                <w:b/>
                <w:sz w:val="20"/>
              </w:rPr>
              <w:t>编号</w:t>
            </w:r>
          </w:p>
          <w:p>
            <w:pPr>
              <w:pStyle w:val="10"/>
              <w:spacing w:before="56"/>
              <w:rPr>
                <w:b/>
                <w:sz w:val="20"/>
              </w:rPr>
            </w:pPr>
            <w:r>
              <w:rPr>
                <w:b/>
                <w:sz w:val="20"/>
              </w:rPr>
              <w:t>名称</w:t>
            </w:r>
          </w:p>
        </w:tc>
        <w:tc>
          <w:tcPr>
            <w:tcW w:w="962" w:type="dxa"/>
          </w:tcPr>
          <w:p>
            <w:pPr>
              <w:pStyle w:val="10"/>
              <w:spacing w:before="2"/>
              <w:ind w:left="0"/>
              <w:rPr>
                <w:b/>
                <w:sz w:val="14"/>
              </w:rPr>
            </w:pPr>
          </w:p>
          <w:p>
            <w:pPr>
              <w:pStyle w:val="1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  <w:r>
              <w:rPr>
                <w:rFonts w:hint="eastAsia"/>
                <w:b/>
                <w:sz w:val="20"/>
                <w:lang w:val="en-US" w:eastAsia="zh-CN"/>
              </w:rPr>
              <w:t>C2</w:t>
            </w:r>
            <w:r>
              <w:rPr>
                <w:b/>
                <w:sz w:val="20"/>
              </w:rPr>
              <w:t>1652</w:t>
            </w:r>
          </w:p>
        </w:tc>
        <w:tc>
          <w:tcPr>
            <w:tcW w:w="947" w:type="dxa"/>
          </w:tcPr>
          <w:p>
            <w:pPr>
              <w:pStyle w:val="10"/>
              <w:spacing w:before="2"/>
              <w:ind w:left="0"/>
              <w:rPr>
                <w:b/>
                <w:sz w:val="14"/>
              </w:rPr>
            </w:pPr>
          </w:p>
          <w:p>
            <w:pPr>
              <w:pStyle w:val="1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Storage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18" w:type="dxa"/>
          </w:tcPr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试剂(A): Glu 标准(10mg/ml)</w:t>
            </w:r>
          </w:p>
        </w:tc>
        <w:tc>
          <w:tcPr>
            <w:tcW w:w="962" w:type="dxa"/>
          </w:tcPr>
          <w:p>
            <w:pPr>
              <w:pStyle w:val="10"/>
              <w:spacing w:before="25"/>
              <w:rPr>
                <w:sz w:val="20"/>
              </w:rPr>
            </w:pPr>
            <w:r>
              <w:rPr>
                <w:sz w:val="20"/>
              </w:rPr>
              <w:t>5ml</w:t>
            </w:r>
          </w:p>
        </w:tc>
        <w:tc>
          <w:tcPr>
            <w:tcW w:w="947" w:type="dxa"/>
          </w:tcPr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4℃ 避光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18" w:type="dxa"/>
          </w:tcPr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试剂(B): O-Toluidine 显色液</w:t>
            </w:r>
          </w:p>
        </w:tc>
        <w:tc>
          <w:tcPr>
            <w:tcW w:w="962" w:type="dxa"/>
          </w:tcPr>
          <w:p>
            <w:pPr>
              <w:pStyle w:val="10"/>
              <w:spacing w:before="25"/>
              <w:rPr>
                <w:sz w:val="20"/>
              </w:rPr>
            </w:pPr>
            <w:r>
              <w:rPr>
                <w:sz w:val="20"/>
              </w:rPr>
              <w:t>100ml</w:t>
            </w:r>
          </w:p>
        </w:tc>
        <w:tc>
          <w:tcPr>
            <w:tcW w:w="947" w:type="dxa"/>
          </w:tcPr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4℃ 避光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118" w:type="dxa"/>
          </w:tcPr>
          <w:p>
            <w:pPr>
              <w:pStyle w:val="10"/>
              <w:spacing w:before="25"/>
              <w:rPr>
                <w:sz w:val="21"/>
              </w:rPr>
            </w:pPr>
            <w:r>
              <w:rPr>
                <w:sz w:val="21"/>
              </w:rPr>
              <w:t>使用说明书</w:t>
            </w:r>
          </w:p>
        </w:tc>
        <w:tc>
          <w:tcPr>
            <w:tcW w:w="1909" w:type="dxa"/>
            <w:gridSpan w:val="2"/>
          </w:tcPr>
          <w:p>
            <w:pPr>
              <w:pStyle w:val="10"/>
              <w:spacing w:before="25"/>
              <w:ind w:left="739" w:right="700"/>
              <w:jc w:val="center"/>
              <w:rPr>
                <w:sz w:val="21"/>
              </w:rPr>
            </w:pPr>
            <w:r>
              <w:rPr>
                <w:sz w:val="21"/>
              </w:rPr>
              <w:t>1 份</w:t>
            </w:r>
          </w:p>
        </w:tc>
      </w:tr>
    </w:tbl>
    <w:p>
      <w:pPr>
        <w:pStyle w:val="3"/>
        <w:spacing w:before="4"/>
        <w:ind w:left="0"/>
        <w:rPr>
          <w:b/>
          <w:sz w:val="24"/>
        </w:rPr>
      </w:pPr>
    </w:p>
    <w:p>
      <w:pPr>
        <w:spacing w:before="0"/>
        <w:ind w:left="218" w:right="0" w:firstLine="0"/>
        <w:jc w:val="left"/>
        <w:rPr>
          <w:b/>
          <w:sz w:val="24"/>
        </w:rPr>
      </w:pPr>
      <w:r>
        <w:rPr>
          <w:b/>
          <w:w w:val="95"/>
          <w:sz w:val="24"/>
        </w:rPr>
        <w:t>自备材料：</w:t>
      </w:r>
    </w:p>
    <w:p>
      <w:pPr>
        <w:pStyle w:val="3"/>
        <w:spacing w:before="27"/>
      </w:pPr>
      <w:r>
        <w:t>1、蒸馏水、PBS、生理盐水</w:t>
      </w:r>
    </w:p>
    <w:p>
      <w:pPr>
        <w:pStyle w:val="3"/>
        <w:spacing w:before="44"/>
      </w:pPr>
      <w:r>
        <w:t>2</w:t>
      </w:r>
      <w:r>
        <w:rPr>
          <w:spacing w:val="-2"/>
        </w:rPr>
        <w:t>、离心管</w:t>
      </w:r>
    </w:p>
    <w:p>
      <w:pPr>
        <w:pStyle w:val="3"/>
        <w:spacing w:before="43"/>
      </w:pPr>
      <w:r>
        <w:rPr>
          <w:spacing w:val="-1"/>
        </w:rPr>
        <w:t>3</w:t>
      </w:r>
      <w:r>
        <w:rPr>
          <w:spacing w:val="-2"/>
        </w:rPr>
        <w:t>、水浴锅</w:t>
      </w:r>
    </w:p>
    <w:p>
      <w:pPr>
        <w:pStyle w:val="3"/>
        <w:spacing w:before="43"/>
      </w:pPr>
      <w:r>
        <w:t>4、分光光度计</w:t>
      </w:r>
    </w:p>
    <w:p>
      <w:pPr>
        <w:spacing w:before="20"/>
        <w:ind w:left="218" w:right="0" w:firstLine="0"/>
        <w:jc w:val="left"/>
        <w:rPr>
          <w:b/>
          <w:sz w:val="24"/>
        </w:rPr>
      </w:pPr>
      <w:r>
        <w:rPr>
          <w:b/>
          <w:sz w:val="24"/>
        </w:rPr>
        <w:t>操作步骤</w:t>
      </w:r>
      <w:r>
        <w:rPr>
          <w:sz w:val="21"/>
        </w:rPr>
        <w:t>(仅供参考)</w:t>
      </w:r>
      <w:r>
        <w:rPr>
          <w:b/>
          <w:sz w:val="24"/>
        </w:rPr>
        <w:t>：</w:t>
      </w:r>
    </w:p>
    <w:p>
      <w:pPr>
        <w:pStyle w:val="3"/>
        <w:spacing w:before="27"/>
      </w:pPr>
      <w:r>
        <w:t>1、样本处理：</w:t>
      </w:r>
    </w:p>
    <w:p>
      <w:pPr>
        <w:pStyle w:val="3"/>
        <w:spacing w:before="43" w:line="278" w:lineRule="auto"/>
        <w:ind w:right="211"/>
      </w:pPr>
      <w:r>
        <w:rPr>
          <w:spacing w:val="-10"/>
        </w:rPr>
        <w:t>①血清、血浆、脑脊液样本：从待测样本中分理出的血清或血浆不应有溶血，直接检测，如</w:t>
      </w:r>
      <w:r>
        <w:rPr>
          <w:spacing w:val="-5"/>
        </w:rPr>
        <w:t>超过线性范围(</w:t>
      </w:r>
      <w:r>
        <w:t>25mmol/L</w:t>
      </w:r>
      <w:r>
        <w:rPr>
          <w:spacing w:val="-3"/>
        </w:rPr>
        <w:t>)，用蒸馏水稀释后检测。</w:t>
      </w:r>
    </w:p>
    <w:p>
      <w:pPr>
        <w:pStyle w:val="3"/>
        <w:spacing w:line="269" w:lineRule="exact"/>
      </w:pPr>
      <w:r>
        <w:t>②细胞样本：</w:t>
      </w:r>
    </w:p>
    <w:p>
      <w:pPr>
        <w:pStyle w:val="3"/>
        <w:spacing w:before="43" w:line="278" w:lineRule="auto"/>
        <w:ind w:right="1137"/>
      </w:pPr>
      <w:r>
        <w:t>a、取适量的细胞(一般推荐&gt;10</w:t>
      </w:r>
      <w:r>
        <w:rPr>
          <w:sz w:val="14"/>
        </w:rPr>
        <w:t xml:space="preserve">6 </w:t>
      </w:r>
      <w:r>
        <w:t>以上)，1000g 离心10min，弃上清，留取沉淀。b、用 PBS 或生理盐水清洗 1~2 次，1000g 离心 10min，弃上清，留取沉淀。</w:t>
      </w:r>
    </w:p>
    <w:p>
      <w:pPr>
        <w:pStyle w:val="3"/>
        <w:spacing w:line="278" w:lineRule="auto"/>
        <w:ind w:right="434"/>
      </w:pPr>
      <w:r>
        <w:t>c、加入200~300</w:t>
      </w:r>
      <w:r>
        <w:rPr>
          <w:rFonts w:ascii="Arial" w:hAnsi="Arial" w:eastAsia="Arial"/>
        </w:rPr>
        <w:t xml:space="preserve">μ </w:t>
      </w:r>
      <w:r>
        <w:t>l 的PBS 或生理盐水匀浆，冰浴条件下超声破碎细胞，功率300W，每次3~5s，间隔30s，重复3~5 次。亦可手动匀浆，制备好的匀浆液不可离心，待用。亦可用1~2% Triton X-100 冰浴30~60min，制备好的裂解液不可离心，待用。</w:t>
      </w:r>
    </w:p>
    <w:p>
      <w:pPr>
        <w:pStyle w:val="3"/>
        <w:spacing w:line="278" w:lineRule="auto"/>
        <w:ind w:right="228"/>
      </w:pPr>
      <w:r>
        <w:t>③组织样本：准确称取适量组织样本，按质量(g)：生理盐水或PBS(ml)=1：9 的比例，加</w:t>
      </w:r>
    </w:p>
    <w:p>
      <w:pPr>
        <w:pStyle w:val="3"/>
        <w:spacing w:line="278" w:lineRule="auto"/>
        <w:ind w:right="228"/>
      </w:pPr>
    </w:p>
    <w:p>
      <w:pPr>
        <w:pStyle w:val="3"/>
        <w:spacing w:line="278" w:lineRule="auto"/>
        <w:ind w:right="228"/>
      </w:pPr>
      <w:r>
        <w:t>入生理盐水或PBS，冰浴条件下手动或机械匀浆。2500~3000g  离心10min，取上清待用。2、制作葡萄糖标准曲线：取离心管5 支，依次加入Glu 标准(10mg/ml)0.125ml、0.25ml、</w:t>
      </w:r>
    </w:p>
    <w:p>
      <w:pPr>
        <w:pStyle w:val="3"/>
        <w:spacing w:after="21" w:line="269" w:lineRule="exact"/>
      </w:pPr>
      <w:r>
        <w:t>0.5ml、0.75ml、1.0ml，再以蒸馏水稀释至 2.5ml。具体见下表：</w:t>
      </w:r>
    </w:p>
    <w:tbl>
      <w:tblPr>
        <w:tblStyle w:val="5"/>
        <w:tblW w:w="8046" w:type="dxa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2"/>
        <w:gridCol w:w="1025"/>
        <w:gridCol w:w="991"/>
        <w:gridCol w:w="993"/>
        <w:gridCol w:w="991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912" w:type="dxa"/>
          </w:tcPr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Glu 标准(10mg/ml)(ml)</w:t>
            </w:r>
          </w:p>
        </w:tc>
        <w:tc>
          <w:tcPr>
            <w:tcW w:w="1025" w:type="dxa"/>
          </w:tcPr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0.125</w:t>
            </w:r>
          </w:p>
        </w:tc>
        <w:tc>
          <w:tcPr>
            <w:tcW w:w="991" w:type="dxa"/>
          </w:tcPr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0.25</w:t>
            </w:r>
          </w:p>
        </w:tc>
        <w:tc>
          <w:tcPr>
            <w:tcW w:w="993" w:type="dxa"/>
          </w:tcPr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0.5</w:t>
            </w:r>
          </w:p>
        </w:tc>
        <w:tc>
          <w:tcPr>
            <w:tcW w:w="991" w:type="dxa"/>
          </w:tcPr>
          <w:p>
            <w:pPr>
              <w:pStyle w:val="10"/>
              <w:ind w:left="106"/>
              <w:rPr>
                <w:sz w:val="21"/>
              </w:rPr>
            </w:pPr>
            <w:r>
              <w:rPr>
                <w:sz w:val="21"/>
              </w:rPr>
              <w:t>0.75</w:t>
            </w:r>
          </w:p>
        </w:tc>
        <w:tc>
          <w:tcPr>
            <w:tcW w:w="1134" w:type="dxa"/>
          </w:tcPr>
          <w:p>
            <w:pPr>
              <w:pStyle w:val="10"/>
              <w:ind w:left="109"/>
              <w:rPr>
                <w:sz w:val="21"/>
              </w:rPr>
            </w:pPr>
            <w:r>
              <w:rPr>
                <w:sz w:val="21"/>
              </w:rPr>
              <w:t>1.0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912" w:type="dxa"/>
          </w:tcPr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蒸馏水(ml)</w:t>
            </w:r>
          </w:p>
        </w:tc>
        <w:tc>
          <w:tcPr>
            <w:tcW w:w="1025" w:type="dxa"/>
          </w:tcPr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2.375</w:t>
            </w:r>
          </w:p>
        </w:tc>
        <w:tc>
          <w:tcPr>
            <w:tcW w:w="991" w:type="dxa"/>
          </w:tcPr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2.25</w:t>
            </w:r>
          </w:p>
        </w:tc>
        <w:tc>
          <w:tcPr>
            <w:tcW w:w="993" w:type="dxa"/>
          </w:tcPr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991" w:type="dxa"/>
          </w:tcPr>
          <w:p>
            <w:pPr>
              <w:pStyle w:val="10"/>
              <w:ind w:left="106"/>
              <w:rPr>
                <w:sz w:val="21"/>
              </w:rPr>
            </w:pPr>
            <w:r>
              <w:rPr>
                <w:sz w:val="21"/>
              </w:rPr>
              <w:t>1.75</w:t>
            </w:r>
          </w:p>
        </w:tc>
        <w:tc>
          <w:tcPr>
            <w:tcW w:w="1134" w:type="dxa"/>
          </w:tcPr>
          <w:p>
            <w:pPr>
              <w:pStyle w:val="10"/>
              <w:ind w:left="109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912" w:type="dxa"/>
          </w:tcPr>
          <w:p>
            <w:pPr>
              <w:pStyle w:val="10"/>
              <w:spacing w:before="18"/>
              <w:rPr>
                <w:sz w:val="21"/>
              </w:rPr>
            </w:pPr>
            <w:r>
              <w:rPr>
                <w:sz w:val="21"/>
              </w:rPr>
              <w:t>葡萄糖浓度(mg/ml)</w:t>
            </w:r>
          </w:p>
        </w:tc>
        <w:tc>
          <w:tcPr>
            <w:tcW w:w="1025" w:type="dxa"/>
          </w:tcPr>
          <w:p>
            <w:pPr>
              <w:pStyle w:val="10"/>
              <w:spacing w:before="18"/>
              <w:rPr>
                <w:sz w:val="21"/>
              </w:rPr>
            </w:pPr>
            <w:r>
              <w:rPr>
                <w:sz w:val="21"/>
              </w:rPr>
              <w:t>0.5</w:t>
            </w:r>
          </w:p>
        </w:tc>
        <w:tc>
          <w:tcPr>
            <w:tcW w:w="991" w:type="dxa"/>
          </w:tcPr>
          <w:p>
            <w:pPr>
              <w:pStyle w:val="10"/>
              <w:spacing w:before="18"/>
              <w:rPr>
                <w:sz w:val="21"/>
              </w:rPr>
            </w:pPr>
            <w:r>
              <w:rPr>
                <w:sz w:val="21"/>
              </w:rPr>
              <w:t>1.0</w:t>
            </w:r>
          </w:p>
        </w:tc>
        <w:tc>
          <w:tcPr>
            <w:tcW w:w="993" w:type="dxa"/>
          </w:tcPr>
          <w:p>
            <w:pPr>
              <w:pStyle w:val="10"/>
              <w:spacing w:before="18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991" w:type="dxa"/>
          </w:tcPr>
          <w:p>
            <w:pPr>
              <w:pStyle w:val="10"/>
              <w:spacing w:before="18"/>
              <w:ind w:left="106"/>
              <w:rPr>
                <w:sz w:val="21"/>
              </w:rPr>
            </w:pPr>
            <w:r>
              <w:rPr>
                <w:sz w:val="21"/>
              </w:rPr>
              <w:t>3.0</w:t>
            </w:r>
          </w:p>
        </w:tc>
        <w:tc>
          <w:tcPr>
            <w:tcW w:w="1134" w:type="dxa"/>
          </w:tcPr>
          <w:p>
            <w:pPr>
              <w:pStyle w:val="10"/>
              <w:spacing w:before="18"/>
              <w:ind w:left="109"/>
              <w:rPr>
                <w:sz w:val="21"/>
              </w:rPr>
            </w:pPr>
            <w:r>
              <w:rPr>
                <w:sz w:val="21"/>
              </w:rPr>
              <w:t>4.0</w:t>
            </w:r>
          </w:p>
        </w:tc>
      </w:tr>
    </w:tbl>
    <w:p>
      <w:pPr>
        <w:pStyle w:val="3"/>
        <w:spacing w:before="2"/>
        <w:ind w:left="0"/>
        <w:rPr>
          <w:sz w:val="20"/>
        </w:rPr>
      </w:pPr>
    </w:p>
    <w:p>
      <w:pPr>
        <w:pStyle w:val="3"/>
        <w:spacing w:before="71"/>
      </w:pPr>
      <w:r>
        <w:t>3、Glu 测定操作:</w:t>
      </w:r>
    </w:p>
    <w:p>
      <w:pPr>
        <w:pStyle w:val="3"/>
        <w:spacing w:before="43" w:after="21"/>
      </w:pPr>
      <w:r>
        <w:t>①按下表依次加入试剂：</w:t>
      </w:r>
    </w:p>
    <w:tbl>
      <w:tblPr>
        <w:tblStyle w:val="5"/>
        <w:tblW w:w="8050" w:type="dxa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1947"/>
        <w:gridCol w:w="1986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32" w:type="dxa"/>
          </w:tcPr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加入试剂(ml)</w:t>
            </w:r>
          </w:p>
        </w:tc>
        <w:tc>
          <w:tcPr>
            <w:tcW w:w="1947" w:type="dxa"/>
          </w:tcPr>
          <w:p>
            <w:pPr>
              <w:pStyle w:val="10"/>
              <w:ind w:left="636" w:right="630"/>
              <w:jc w:val="center"/>
              <w:rPr>
                <w:sz w:val="21"/>
              </w:rPr>
            </w:pPr>
            <w:r>
              <w:rPr>
                <w:sz w:val="21"/>
              </w:rPr>
              <w:t>空白管</w:t>
            </w:r>
          </w:p>
        </w:tc>
        <w:tc>
          <w:tcPr>
            <w:tcW w:w="1986" w:type="dxa"/>
          </w:tcPr>
          <w:p>
            <w:pPr>
              <w:pStyle w:val="10"/>
              <w:ind w:left="655" w:right="650"/>
              <w:jc w:val="center"/>
              <w:rPr>
                <w:sz w:val="21"/>
              </w:rPr>
            </w:pPr>
            <w:r>
              <w:rPr>
                <w:sz w:val="21"/>
              </w:rPr>
              <w:t>标准管</w:t>
            </w:r>
          </w:p>
        </w:tc>
        <w:tc>
          <w:tcPr>
            <w:tcW w:w="1985" w:type="dxa"/>
          </w:tcPr>
          <w:p>
            <w:pPr>
              <w:pStyle w:val="10"/>
              <w:ind w:left="657" w:right="648"/>
              <w:jc w:val="center"/>
              <w:rPr>
                <w:sz w:val="21"/>
              </w:rPr>
            </w:pPr>
            <w:r>
              <w:rPr>
                <w:sz w:val="21"/>
              </w:rPr>
              <w:t>待测管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132" w:type="dxa"/>
          </w:tcPr>
          <w:p>
            <w:pPr>
              <w:pStyle w:val="10"/>
              <w:spacing w:before="25"/>
              <w:rPr>
                <w:sz w:val="21"/>
              </w:rPr>
            </w:pPr>
            <w:r>
              <w:rPr>
                <w:sz w:val="21"/>
              </w:rPr>
              <w:t>蒸馏水</w:t>
            </w:r>
          </w:p>
        </w:tc>
        <w:tc>
          <w:tcPr>
            <w:tcW w:w="1947" w:type="dxa"/>
          </w:tcPr>
          <w:p>
            <w:pPr>
              <w:pStyle w:val="10"/>
              <w:spacing w:before="25"/>
              <w:ind w:left="636" w:right="630"/>
              <w:jc w:val="center"/>
              <w:rPr>
                <w:sz w:val="21"/>
              </w:rPr>
            </w:pPr>
            <w:r>
              <w:rPr>
                <w:sz w:val="21"/>
              </w:rPr>
              <w:t>0.04</w:t>
            </w:r>
          </w:p>
        </w:tc>
        <w:tc>
          <w:tcPr>
            <w:tcW w:w="1986" w:type="dxa"/>
          </w:tcPr>
          <w:p>
            <w:pPr>
              <w:pStyle w:val="10"/>
              <w:spacing w:before="25"/>
              <w:ind w:left="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985" w:type="dxa"/>
          </w:tcPr>
          <w:p>
            <w:pPr>
              <w:pStyle w:val="10"/>
              <w:spacing w:before="2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32" w:type="dxa"/>
          </w:tcPr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系列 Glu 标准</w:t>
            </w:r>
          </w:p>
        </w:tc>
        <w:tc>
          <w:tcPr>
            <w:tcW w:w="1947" w:type="dxa"/>
          </w:tcPr>
          <w:p>
            <w:pPr>
              <w:pStyle w:val="10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986" w:type="dxa"/>
          </w:tcPr>
          <w:p>
            <w:pPr>
              <w:pStyle w:val="10"/>
              <w:ind w:left="655" w:right="650"/>
              <w:jc w:val="center"/>
              <w:rPr>
                <w:sz w:val="21"/>
              </w:rPr>
            </w:pPr>
            <w:r>
              <w:rPr>
                <w:sz w:val="21"/>
              </w:rPr>
              <w:t>0.04</w:t>
            </w:r>
          </w:p>
        </w:tc>
        <w:tc>
          <w:tcPr>
            <w:tcW w:w="1985" w:type="dxa"/>
          </w:tcPr>
          <w:p>
            <w:pPr>
              <w:pStyle w:val="10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32" w:type="dxa"/>
          </w:tcPr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待测样本</w:t>
            </w:r>
          </w:p>
        </w:tc>
        <w:tc>
          <w:tcPr>
            <w:tcW w:w="1947" w:type="dxa"/>
          </w:tcPr>
          <w:p>
            <w:pPr>
              <w:pStyle w:val="10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986" w:type="dxa"/>
          </w:tcPr>
          <w:p>
            <w:pPr>
              <w:pStyle w:val="10"/>
              <w:ind w:left="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985" w:type="dxa"/>
          </w:tcPr>
          <w:p>
            <w:pPr>
              <w:pStyle w:val="10"/>
              <w:ind w:left="657" w:right="648"/>
              <w:jc w:val="center"/>
              <w:rPr>
                <w:sz w:val="21"/>
              </w:rPr>
            </w:pPr>
            <w:r>
              <w:rPr>
                <w:sz w:val="21"/>
              </w:rPr>
              <w:t>0.04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32" w:type="dxa"/>
          </w:tcPr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邻甲苯胺显色液</w:t>
            </w:r>
          </w:p>
        </w:tc>
        <w:tc>
          <w:tcPr>
            <w:tcW w:w="1947" w:type="dxa"/>
          </w:tcPr>
          <w:p>
            <w:pPr>
              <w:pStyle w:val="10"/>
              <w:ind w:left="636" w:right="630"/>
              <w:jc w:val="center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1986" w:type="dxa"/>
          </w:tcPr>
          <w:p>
            <w:pPr>
              <w:pStyle w:val="10"/>
              <w:ind w:left="655" w:right="650"/>
              <w:jc w:val="center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1985" w:type="dxa"/>
          </w:tcPr>
          <w:p>
            <w:pPr>
              <w:pStyle w:val="10"/>
              <w:ind w:left="657" w:right="648"/>
              <w:jc w:val="center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</w:tr>
    </w:tbl>
    <w:p>
      <w:pPr>
        <w:pStyle w:val="3"/>
        <w:spacing w:before="1"/>
        <w:ind w:left="0"/>
        <w:rPr>
          <w:sz w:val="26"/>
        </w:rPr>
      </w:pPr>
    </w:p>
    <w:p>
      <w:pPr>
        <w:pStyle w:val="3"/>
      </w:pPr>
      <w:r>
        <w:t>②充分混匀, 置于沸水浴中煮沸15min，取出在冷水中冷却，用分光光度计在630nm 波长</w:t>
      </w:r>
    </w:p>
    <w:p>
      <w:pPr>
        <w:pStyle w:val="3"/>
        <w:spacing w:before="43" w:line="278" w:lineRule="auto"/>
        <w:ind w:right="105"/>
      </w:pPr>
      <w:r>
        <w:rPr>
          <w:spacing w:val="-16"/>
        </w:rPr>
        <w:t xml:space="preserve">进行比色读取吸光度，以空白管调零，读取标准管和各待测管的吸光度。以吸光度为纵坐标， </w:t>
      </w:r>
      <w:r>
        <w:rPr>
          <w:spacing w:val="-7"/>
        </w:rPr>
        <w:t>相应管中的葡萄糖浓度为横坐标，在图表纸上绘曲线。</w:t>
      </w:r>
    </w:p>
    <w:p>
      <w:pPr>
        <w:pStyle w:val="3"/>
        <w:spacing w:line="285" w:lineRule="exact"/>
      </w:pPr>
      <w:r>
        <w:rPr>
          <w:b/>
          <w:sz w:val="24"/>
        </w:rPr>
        <w:t xml:space="preserve">计算： </w:t>
      </w:r>
      <w:r>
        <w:t>以吸光度为纵坐标，相应管中的葡萄糖浓度为横坐标，在图表纸上绘曲线。</w:t>
      </w:r>
    </w:p>
    <w:p>
      <w:pPr>
        <w:spacing w:before="5" w:line="242" w:lineRule="auto"/>
        <w:ind w:left="218" w:right="3749" w:firstLine="0"/>
        <w:jc w:val="left"/>
        <w:rPr>
          <w:b/>
          <w:sz w:val="24"/>
        </w:rPr>
      </w:pPr>
      <w:r>
        <w:rPr>
          <w:b/>
          <w:sz w:val="24"/>
        </w:rPr>
        <w:t>参考区间：</w:t>
      </w:r>
      <w:r>
        <w:rPr>
          <w:sz w:val="21"/>
        </w:rPr>
        <w:t xml:space="preserve">健康成年人空腹葡萄糖：0.7~1.0mg/ml </w:t>
      </w:r>
      <w:r>
        <w:rPr>
          <w:b/>
          <w:sz w:val="24"/>
        </w:rPr>
        <w:t>注意事项：</w:t>
      </w:r>
    </w:p>
    <w:p>
      <w:pPr>
        <w:pStyle w:val="3"/>
        <w:spacing w:before="25"/>
      </w:pPr>
      <w:r>
        <w:t>1、待测样本如不能及时测定，应置于2~8℃保存，3 天内稳定。</w:t>
      </w:r>
    </w:p>
    <w:p>
      <w:pPr>
        <w:pStyle w:val="3"/>
        <w:spacing w:before="43"/>
      </w:pPr>
      <w:r>
        <w:t>2、邻甲苯胺显色液有腐蚀性，请小心操作。</w:t>
      </w:r>
    </w:p>
    <w:p>
      <w:pPr>
        <w:pStyle w:val="3"/>
        <w:spacing w:before="43"/>
      </w:pPr>
      <w:r>
        <w:t>3、邻甲苯胺显色液如出现结晶、沉淀，置于温水浴溶解即可。</w:t>
      </w:r>
    </w:p>
    <w:p>
      <w:pPr>
        <w:pStyle w:val="3"/>
        <w:spacing w:before="43"/>
      </w:pPr>
      <w:r>
        <w:t>4、本试剂盒不受还原物质干扰、无需去除血浆或血清中的蛋白质。</w:t>
      </w:r>
    </w:p>
    <w:sectPr>
      <w:headerReference r:id="rId3" w:type="default"/>
      <w:footerReference r:id="rId4" w:type="default"/>
      <w:pgSz w:w="11910" w:h="16840"/>
      <w:pgMar w:top="1440" w:right="1580" w:bottom="1780" w:left="1580" w:header="50" w:footer="158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auto"/>
      <w:ind w:left="0"/>
      <w:textAlignment w:val="auto"/>
      <w:rPr>
        <w:sz w:val="20"/>
      </w:rPr>
    </w:pPr>
  </w:p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auto"/>
      <w:ind w:left="0"/>
      <w:textAlignment w:val="auto"/>
      <w:rPr>
        <w:sz w:val="20"/>
      </w:rPr>
    </w:pPr>
  </w:p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auto"/>
      <w:ind w:left="0"/>
      <w:textAlignment w:val="auto"/>
      <w:rPr>
        <w:sz w:val="20"/>
      </w:rPr>
    </w:pPr>
    <w:r>
      <w:rPr>
        <w:sz w:val="32"/>
      </w:rPr>
      <w:pict>
        <v:shape id="PowerPlusWaterMarkObject34515" o:spid="_x0000_s2058" o:spt="136" type="#_x0000_t136" style="position:absolute;left:0pt;height:69.1pt;width:549.5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shape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3656965</wp:posOffset>
              </wp:positionH>
              <wp:positionV relativeFrom="paragraph">
                <wp:posOffset>48895</wp:posOffset>
              </wp:positionV>
              <wp:extent cx="1931035" cy="881380"/>
              <wp:effectExtent l="0" t="0" r="12065" b="13970"/>
              <wp:wrapNone/>
              <wp:docPr id="4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660265" y="556260"/>
                        <a:ext cx="1931035" cy="881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287.95pt;margin-top:3.85pt;height:69.4pt;width:152.05pt;z-index:251658240;mso-width-relative:page;mso-height-relative:page;" fillcolor="#FFFFFF" filled="t" stroked="f" coordsize="21600,21600" o:gfxdata="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00jLh1wAAAAkBAAAPAAAAAAAAAAEAIAAAACIAAABkcnMvZG93&#10;bnJldi54bWxQSwECFAAUAAAACACHTuJAbPzOX8gBAABU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F4C29"/>
    <w:rsid w:val="448D3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218"/>
      <w:outlineLvl w:val="1"/>
    </w:pPr>
    <w:rPr>
      <w:rFonts w:ascii="宋体" w:hAnsi="宋体" w:eastAsia="宋体" w:cs="宋体"/>
      <w:b/>
      <w:bCs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18"/>
    </w:pPr>
    <w:rPr>
      <w:rFonts w:ascii="宋体" w:hAnsi="宋体" w:eastAsia="宋体" w:cs="宋体"/>
      <w:sz w:val="21"/>
      <w:szCs w:val="21"/>
      <w:lang w:val="en-US" w:eastAsia="en-US" w:bidi="en-US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en-US" w:bidi="en-US"/>
    </w:rPr>
  </w:style>
  <w:style w:type="paragraph" w:customStyle="1" w:styleId="10">
    <w:name w:val="Table Paragraph"/>
    <w:basedOn w:val="1"/>
    <w:qFormat/>
    <w:uiPriority w:val="1"/>
    <w:pPr>
      <w:spacing w:before="22"/>
      <w:ind w:left="107"/>
    </w:pPr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2019-04-24T02:53:00Z</dcterms:created>
  <dc:creator>番茄花园</dc:creator>
  <cp:lastModifiedBy>Cute  princess</cp:lastModifiedBy>
  <dcterms:modified xsi:type="dcterms:W3CDTF">2019-04-24T03:27:24Z</dcterms:modified>
  <dc:title>质量检验报告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2019-04-24T00:00:00Z</vt:filetime>
  </property>
  <property fmtid="{D5CDD505-2E9C-101B-9397-08002B2CF9AE}" pid="5" name="KSOProductBuildVer">
    <vt:lpwstr>2052-11.1.0.8612</vt:lpwstr>
  </property>
</Properties>
</file>