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spacing w:before="7"/>
        <w:rPr>
          <w:rFonts w:ascii="MS UI Gothic"/>
          <w:b/>
          <w:sz w:val="23"/>
        </w:rPr>
      </w:pPr>
    </w:p>
    <w:p>
      <w:pPr>
        <w:spacing w:after="0"/>
        <w:rPr>
          <w:rFonts w:ascii="MS UI Gothic"/>
          <w:sz w:val="23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Tris 凝胶缓冲液(4×,pH7.1-8.9)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502"/>
            <w:col w:w="693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66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Tris 凝胶缓冲液(4×,pH7.1-8.9)由 Tris、去离子水等组成，调 pH 至 7.1-8.9 之间，用于非变性条件下的单向凝胶电泳即 Tris 非变性聚丙烯酰胺凝胶电泳。</w:t>
      </w:r>
    </w:p>
    <w:p>
      <w:pPr>
        <w:pStyle w:val="3"/>
        <w:spacing w:before="3"/>
        <w:rPr>
          <w:rFonts w:hint="eastAsia" w:ascii="宋体" w:hAnsi="宋体" w:eastAsia="宋体" w:cs="宋体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7"/>
        <w:rPr>
          <w:rFonts w:hint="eastAsia" w:ascii="宋体" w:hAnsi="宋体" w:eastAsia="宋体" w:cs="宋体"/>
          <w:b/>
          <w:sz w:val="44"/>
        </w:rPr>
      </w:pPr>
    </w:p>
    <w:p>
      <w:pPr>
        <w:pStyle w:val="3"/>
        <w:tabs>
          <w:tab w:val="left" w:pos="3738"/>
          <w:tab w:val="left" w:pos="5000"/>
        </w:tabs>
        <w:ind w:right="26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Tris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凝胶缓冲液(4×,pH7.1-8.9)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7"/>
        <w:rPr>
          <w:rFonts w:hint="eastAsia" w:ascii="宋体" w:hAnsi="宋体" w:eastAsia="宋体" w:cs="宋体"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1、组装凝胶电泳玻璃板夹层并并固定于支架上。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2、在 100ml 烧杯中混匀 30%丙烯酰胺/0.8%亚甲基双丙烯酰胺溶液、300mM 亚硫酸钠、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Tris 凝胶缓冲液(4×)等，如需迅速凝固，在使用前加入过硫酸铵和 TEMED。</w:t>
      </w:r>
    </w:p>
    <w:p>
      <w:pPr>
        <w:pStyle w:val="3"/>
        <w:spacing w:before="1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1、如果每次的使用量</w:t>
      </w:r>
      <w:bookmarkStart w:id="0" w:name="_GoBack"/>
      <w:bookmarkEnd w:id="0"/>
      <w:r>
        <w:rPr>
          <w:rFonts w:hint="eastAsia" w:ascii="宋体" w:hAnsi="宋体" w:eastAsia="宋体" w:cs="宋体"/>
        </w:rPr>
        <w:t>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2、为了您的安全和健康，请穿实验服并戴一次性手套操作。</w:t>
      </w:r>
    </w:p>
    <w:p>
      <w:pPr>
        <w:pStyle w:val="3"/>
        <w:spacing w:before="8"/>
        <w:rPr>
          <w:rFonts w:hint="eastAsia" w:ascii="宋体" w:hAnsi="宋体" w:eastAsia="宋体" w:cs="宋体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>6 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附表：</w:t>
      </w:r>
    </w:p>
    <w:p>
      <w:pPr>
        <w:pStyle w:val="3"/>
        <w:tabs>
          <w:tab w:val="left" w:pos="4895"/>
        </w:tabs>
        <w:spacing w:before="2"/>
        <w:ind w:left="961"/>
      </w:pPr>
      <w:r>
        <w:t>储存液</w:t>
      </w:r>
      <w:r>
        <w:tab/>
      </w:r>
      <w:r>
        <w:t>丙烯酰胺浓度/%</w:t>
      </w:r>
    </w:p>
    <w:p>
      <w:pPr>
        <w:pStyle w:val="3"/>
        <w:spacing w:before="17"/>
        <w:rPr>
          <w:sz w:val="3"/>
        </w:rPr>
      </w:pPr>
    </w:p>
    <w:tbl>
      <w:tblPr>
        <w:tblStyle w:val="6"/>
        <w:tblW w:w="7225" w:type="dxa"/>
        <w:tblInd w:w="9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789"/>
        <w:gridCol w:w="758"/>
        <w:gridCol w:w="776"/>
        <w:gridCol w:w="765"/>
        <w:gridCol w:w="658"/>
        <w:gridCol w:w="796"/>
        <w:gridCol w:w="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088" w:type="dxa"/>
          </w:tcPr>
          <w:p>
            <w:pPr>
              <w:pStyle w:val="11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>
            <w:pPr>
              <w:pStyle w:val="11"/>
              <w:spacing w:line="314" w:lineRule="exact"/>
              <w:ind w:left="6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58" w:type="dxa"/>
          </w:tcPr>
          <w:p>
            <w:pPr>
              <w:pStyle w:val="11"/>
              <w:spacing w:line="314" w:lineRule="exact"/>
              <w:ind w:right="62"/>
              <w:rPr>
                <w:sz w:val="21"/>
              </w:rPr>
            </w:pPr>
            <w:r>
              <w:rPr>
                <w:sz w:val="21"/>
              </w:rPr>
              <w:t>7.5</w:t>
            </w:r>
          </w:p>
        </w:tc>
        <w:tc>
          <w:tcPr>
            <w:tcW w:w="776" w:type="dxa"/>
          </w:tcPr>
          <w:p>
            <w:pPr>
              <w:pStyle w:val="11"/>
              <w:spacing w:line="314" w:lineRule="exact"/>
              <w:ind w:left="104" w:right="8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65" w:type="dxa"/>
          </w:tcPr>
          <w:p>
            <w:pPr>
              <w:pStyle w:val="11"/>
              <w:spacing w:line="314" w:lineRule="exact"/>
              <w:ind w:left="90" w:right="88"/>
              <w:rPr>
                <w:sz w:val="21"/>
              </w:rPr>
            </w:pPr>
            <w:r>
              <w:rPr>
                <w:sz w:val="21"/>
              </w:rPr>
              <w:t>12.5</w:t>
            </w:r>
          </w:p>
        </w:tc>
        <w:tc>
          <w:tcPr>
            <w:tcW w:w="658" w:type="dxa"/>
          </w:tcPr>
          <w:p>
            <w:pPr>
              <w:pStyle w:val="11"/>
              <w:spacing w:line="314" w:lineRule="exact"/>
              <w:ind w:left="205"/>
              <w:jc w:val="lef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96" w:type="dxa"/>
          </w:tcPr>
          <w:p>
            <w:pPr>
              <w:pStyle w:val="11"/>
              <w:spacing w:line="314" w:lineRule="exact"/>
              <w:ind w:left="109" w:right="100"/>
              <w:rPr>
                <w:sz w:val="21"/>
              </w:rPr>
            </w:pPr>
            <w:r>
              <w:rPr>
                <w:sz w:val="21"/>
              </w:rPr>
              <w:t>17.5</w:t>
            </w:r>
          </w:p>
        </w:tc>
        <w:tc>
          <w:tcPr>
            <w:tcW w:w="595" w:type="dxa"/>
          </w:tcPr>
          <w:p>
            <w:pPr>
              <w:pStyle w:val="11"/>
              <w:spacing w:line="314" w:lineRule="exact"/>
              <w:ind w:left="113" w:right="1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88" w:type="dxa"/>
          </w:tcPr>
          <w:p>
            <w:pPr>
              <w:pStyle w:val="11"/>
              <w:spacing w:before="31" w:line="369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30%Acr/0.8%Bis</w:t>
            </w:r>
          </w:p>
        </w:tc>
        <w:tc>
          <w:tcPr>
            <w:tcW w:w="789" w:type="dxa"/>
          </w:tcPr>
          <w:p>
            <w:pPr>
              <w:pStyle w:val="11"/>
              <w:spacing w:before="31" w:line="369" w:lineRule="exact"/>
              <w:ind w:left="129" w:right="72"/>
              <w:rPr>
                <w:sz w:val="21"/>
              </w:rPr>
            </w:pPr>
            <w:r>
              <w:rPr>
                <w:sz w:val="21"/>
              </w:rPr>
              <w:t>6.7</w:t>
            </w:r>
          </w:p>
        </w:tc>
        <w:tc>
          <w:tcPr>
            <w:tcW w:w="758" w:type="dxa"/>
          </w:tcPr>
          <w:p>
            <w:pPr>
              <w:pStyle w:val="11"/>
              <w:spacing w:before="2"/>
              <w:ind w:right="5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76" w:type="dxa"/>
          </w:tcPr>
          <w:p>
            <w:pPr>
              <w:pStyle w:val="11"/>
              <w:spacing w:before="31" w:line="369" w:lineRule="exact"/>
              <w:ind w:left="101" w:right="88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765" w:type="dxa"/>
          </w:tcPr>
          <w:p>
            <w:pPr>
              <w:pStyle w:val="11"/>
              <w:spacing w:before="2"/>
              <w:ind w:left="90" w:right="88"/>
              <w:rPr>
                <w:sz w:val="21"/>
              </w:rPr>
            </w:pPr>
            <w:r>
              <w:rPr>
                <w:sz w:val="21"/>
              </w:rPr>
              <w:t>16.8</w:t>
            </w:r>
          </w:p>
        </w:tc>
        <w:tc>
          <w:tcPr>
            <w:tcW w:w="658" w:type="dxa"/>
          </w:tcPr>
          <w:p>
            <w:pPr>
              <w:pStyle w:val="11"/>
              <w:spacing w:before="31" w:line="369" w:lineRule="exact"/>
              <w:ind w:left="205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96" w:type="dxa"/>
          </w:tcPr>
          <w:p>
            <w:pPr>
              <w:pStyle w:val="11"/>
              <w:spacing w:before="2"/>
              <w:ind w:left="112" w:right="100"/>
              <w:rPr>
                <w:sz w:val="21"/>
              </w:rPr>
            </w:pPr>
            <w:r>
              <w:rPr>
                <w:sz w:val="21"/>
              </w:rPr>
              <w:t>23.32</w:t>
            </w:r>
          </w:p>
        </w:tc>
        <w:tc>
          <w:tcPr>
            <w:tcW w:w="595" w:type="dxa"/>
          </w:tcPr>
          <w:p>
            <w:pPr>
              <w:pStyle w:val="11"/>
              <w:spacing w:before="2"/>
              <w:ind w:left="113" w:right="21"/>
              <w:rPr>
                <w:sz w:val="21"/>
              </w:rPr>
            </w:pPr>
            <w:r>
              <w:rPr>
                <w:sz w:val="21"/>
              </w:rPr>
              <w:t>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088" w:type="dxa"/>
          </w:tcPr>
          <w:p>
            <w:pPr>
              <w:pStyle w:val="11"/>
              <w:spacing w:before="31" w:line="377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Tris 凝胶缓冲液(4×)</w:t>
            </w:r>
          </w:p>
        </w:tc>
        <w:tc>
          <w:tcPr>
            <w:tcW w:w="789" w:type="dxa"/>
          </w:tcPr>
          <w:p>
            <w:pPr>
              <w:pStyle w:val="11"/>
              <w:spacing w:before="3"/>
              <w:ind w:left="133" w:right="6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58" w:type="dxa"/>
          </w:tcPr>
          <w:p>
            <w:pPr>
              <w:pStyle w:val="11"/>
              <w:spacing w:before="2"/>
              <w:ind w:right="5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76" w:type="dxa"/>
          </w:tcPr>
          <w:p>
            <w:pPr>
              <w:pStyle w:val="11"/>
              <w:spacing w:before="3"/>
              <w:ind w:left="104" w:right="8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65" w:type="dxa"/>
          </w:tcPr>
          <w:p>
            <w:pPr>
              <w:pStyle w:val="11"/>
              <w:spacing w:before="2"/>
              <w:ind w:left="93" w:right="8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58" w:type="dxa"/>
          </w:tcPr>
          <w:p>
            <w:pPr>
              <w:pStyle w:val="11"/>
              <w:spacing w:before="3"/>
              <w:ind w:left="205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96" w:type="dxa"/>
          </w:tcPr>
          <w:p>
            <w:pPr>
              <w:pStyle w:val="11"/>
              <w:spacing w:before="2"/>
              <w:ind w:left="112" w:right="9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95" w:type="dxa"/>
          </w:tcPr>
          <w:p>
            <w:pPr>
              <w:pStyle w:val="11"/>
              <w:spacing w:before="2"/>
              <w:ind w:left="113" w:right="1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088" w:type="dxa"/>
          </w:tcPr>
          <w:p>
            <w:pPr>
              <w:pStyle w:val="11"/>
              <w:spacing w:before="9" w:line="363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水</w:t>
            </w:r>
          </w:p>
        </w:tc>
        <w:tc>
          <w:tcPr>
            <w:tcW w:w="789" w:type="dxa"/>
          </w:tcPr>
          <w:p>
            <w:pPr>
              <w:pStyle w:val="11"/>
              <w:spacing w:before="9" w:line="363" w:lineRule="exact"/>
              <w:ind w:left="133" w:right="72"/>
              <w:rPr>
                <w:sz w:val="21"/>
              </w:rPr>
            </w:pPr>
            <w:r>
              <w:rPr>
                <w:sz w:val="21"/>
              </w:rPr>
              <w:t>23.08</w:t>
            </w:r>
          </w:p>
        </w:tc>
        <w:tc>
          <w:tcPr>
            <w:tcW w:w="758" w:type="dxa"/>
          </w:tcPr>
          <w:p>
            <w:pPr>
              <w:pStyle w:val="11"/>
              <w:spacing w:before="9" w:line="363" w:lineRule="exact"/>
              <w:ind w:right="100"/>
              <w:rPr>
                <w:sz w:val="21"/>
              </w:rPr>
            </w:pPr>
            <w:r>
              <w:rPr>
                <w:sz w:val="21"/>
              </w:rPr>
              <w:t>19.78</w:t>
            </w:r>
          </w:p>
        </w:tc>
        <w:tc>
          <w:tcPr>
            <w:tcW w:w="776" w:type="dxa"/>
          </w:tcPr>
          <w:p>
            <w:pPr>
              <w:pStyle w:val="11"/>
              <w:spacing w:before="9" w:line="363" w:lineRule="exact"/>
              <w:ind w:left="104" w:right="88"/>
              <w:rPr>
                <w:sz w:val="21"/>
              </w:rPr>
            </w:pPr>
            <w:r>
              <w:rPr>
                <w:sz w:val="21"/>
              </w:rPr>
              <w:t>16.48</w:t>
            </w:r>
          </w:p>
        </w:tc>
        <w:tc>
          <w:tcPr>
            <w:tcW w:w="765" w:type="dxa"/>
          </w:tcPr>
          <w:p>
            <w:pPr>
              <w:pStyle w:val="11"/>
              <w:spacing w:before="9" w:line="363" w:lineRule="exact"/>
              <w:ind w:left="93" w:right="88"/>
              <w:rPr>
                <w:sz w:val="21"/>
              </w:rPr>
            </w:pPr>
            <w:r>
              <w:rPr>
                <w:sz w:val="21"/>
              </w:rPr>
              <w:t>12.98</w:t>
            </w:r>
          </w:p>
        </w:tc>
        <w:tc>
          <w:tcPr>
            <w:tcW w:w="658" w:type="dxa"/>
          </w:tcPr>
          <w:p>
            <w:pPr>
              <w:pStyle w:val="11"/>
              <w:spacing w:before="9" w:line="363" w:lineRule="exact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9.78</w:t>
            </w:r>
          </w:p>
        </w:tc>
        <w:tc>
          <w:tcPr>
            <w:tcW w:w="796" w:type="dxa"/>
          </w:tcPr>
          <w:p>
            <w:pPr>
              <w:pStyle w:val="11"/>
              <w:spacing w:before="9" w:line="363" w:lineRule="exact"/>
              <w:ind w:left="109" w:right="100"/>
              <w:rPr>
                <w:sz w:val="21"/>
              </w:rPr>
            </w:pPr>
            <w:r>
              <w:rPr>
                <w:sz w:val="21"/>
              </w:rPr>
              <w:t>6.64</w:t>
            </w:r>
          </w:p>
        </w:tc>
        <w:tc>
          <w:tcPr>
            <w:tcW w:w="595" w:type="dxa"/>
          </w:tcPr>
          <w:p>
            <w:pPr>
              <w:pStyle w:val="11"/>
              <w:spacing w:before="9" w:line="363" w:lineRule="exact"/>
              <w:ind w:left="113" w:right="21"/>
              <w:rPr>
                <w:sz w:val="21"/>
              </w:rPr>
            </w:pPr>
            <w:r>
              <w:rPr>
                <w:sz w:val="21"/>
              </w:rPr>
              <w:t>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88" w:type="dxa"/>
          </w:tcPr>
          <w:p>
            <w:pPr>
              <w:pStyle w:val="11"/>
              <w:spacing w:before="21" w:line="384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APS</w:t>
            </w:r>
          </w:p>
        </w:tc>
        <w:tc>
          <w:tcPr>
            <w:tcW w:w="789" w:type="dxa"/>
          </w:tcPr>
          <w:p>
            <w:pPr>
              <w:pStyle w:val="11"/>
              <w:spacing w:before="21" w:line="384" w:lineRule="exact"/>
              <w:ind w:left="129" w:right="72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758" w:type="dxa"/>
          </w:tcPr>
          <w:p>
            <w:pPr>
              <w:pStyle w:val="11"/>
              <w:spacing w:before="21" w:line="384" w:lineRule="exact"/>
              <w:ind w:right="62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776" w:type="dxa"/>
          </w:tcPr>
          <w:p>
            <w:pPr>
              <w:pStyle w:val="11"/>
              <w:spacing w:line="383" w:lineRule="exact"/>
              <w:ind w:left="98" w:right="88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765" w:type="dxa"/>
          </w:tcPr>
          <w:p>
            <w:pPr>
              <w:pStyle w:val="11"/>
              <w:spacing w:line="383" w:lineRule="exact"/>
              <w:ind w:left="88" w:right="88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658" w:type="dxa"/>
          </w:tcPr>
          <w:p>
            <w:pPr>
              <w:pStyle w:val="11"/>
              <w:spacing w:line="383" w:lineRule="exact"/>
              <w:ind w:left="175"/>
              <w:jc w:val="left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796" w:type="dxa"/>
          </w:tcPr>
          <w:p>
            <w:pPr>
              <w:pStyle w:val="11"/>
              <w:spacing w:line="383" w:lineRule="exact"/>
              <w:ind w:left="106" w:right="100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595" w:type="dxa"/>
          </w:tcPr>
          <w:p>
            <w:pPr>
              <w:pStyle w:val="11"/>
              <w:spacing w:line="383" w:lineRule="exact"/>
              <w:ind w:left="110" w:right="21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088" w:type="dxa"/>
          </w:tcPr>
          <w:p>
            <w:pPr>
              <w:pStyle w:val="11"/>
              <w:spacing w:before="16" w:line="312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TEMED</w:t>
            </w:r>
          </w:p>
        </w:tc>
        <w:tc>
          <w:tcPr>
            <w:tcW w:w="789" w:type="dxa"/>
          </w:tcPr>
          <w:p>
            <w:pPr>
              <w:pStyle w:val="11"/>
              <w:spacing w:before="16" w:line="312" w:lineRule="exact"/>
              <w:ind w:left="132" w:right="72"/>
              <w:rPr>
                <w:sz w:val="21"/>
              </w:rPr>
            </w:pPr>
            <w:r>
              <w:rPr>
                <w:sz w:val="21"/>
              </w:rPr>
              <w:t>0.02</w:t>
            </w:r>
          </w:p>
        </w:tc>
        <w:tc>
          <w:tcPr>
            <w:tcW w:w="758" w:type="dxa"/>
          </w:tcPr>
          <w:p>
            <w:pPr>
              <w:pStyle w:val="11"/>
              <w:spacing w:before="16" w:line="312" w:lineRule="exact"/>
              <w:ind w:right="59"/>
              <w:rPr>
                <w:sz w:val="21"/>
              </w:rPr>
            </w:pPr>
            <w:r>
              <w:rPr>
                <w:sz w:val="21"/>
              </w:rPr>
              <w:t>0.02</w:t>
            </w:r>
          </w:p>
        </w:tc>
        <w:tc>
          <w:tcPr>
            <w:tcW w:w="776" w:type="dxa"/>
          </w:tcPr>
          <w:p>
            <w:pPr>
              <w:pStyle w:val="11"/>
              <w:spacing w:before="16" w:line="312" w:lineRule="exact"/>
              <w:ind w:left="101" w:right="88"/>
              <w:rPr>
                <w:sz w:val="21"/>
              </w:rPr>
            </w:pPr>
            <w:r>
              <w:rPr>
                <w:sz w:val="21"/>
              </w:rPr>
              <w:t>0.02</w:t>
            </w:r>
          </w:p>
        </w:tc>
        <w:tc>
          <w:tcPr>
            <w:tcW w:w="765" w:type="dxa"/>
          </w:tcPr>
          <w:p>
            <w:pPr>
              <w:pStyle w:val="11"/>
              <w:spacing w:before="16" w:line="312" w:lineRule="exact"/>
              <w:ind w:left="90" w:right="88"/>
              <w:rPr>
                <w:sz w:val="21"/>
              </w:rPr>
            </w:pPr>
            <w:r>
              <w:rPr>
                <w:sz w:val="21"/>
              </w:rPr>
              <w:t>0.02</w:t>
            </w:r>
          </w:p>
        </w:tc>
        <w:tc>
          <w:tcPr>
            <w:tcW w:w="658" w:type="dxa"/>
          </w:tcPr>
          <w:p>
            <w:pPr>
              <w:pStyle w:val="11"/>
              <w:spacing w:before="16" w:line="312" w:lineRule="exact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0.02</w:t>
            </w:r>
          </w:p>
        </w:tc>
        <w:tc>
          <w:tcPr>
            <w:tcW w:w="796" w:type="dxa"/>
          </w:tcPr>
          <w:p>
            <w:pPr>
              <w:pStyle w:val="11"/>
              <w:spacing w:before="16" w:line="312" w:lineRule="exact"/>
              <w:ind w:left="109" w:right="100"/>
              <w:rPr>
                <w:sz w:val="21"/>
              </w:rPr>
            </w:pPr>
            <w:r>
              <w:rPr>
                <w:sz w:val="21"/>
              </w:rPr>
              <w:t>0.02</w:t>
            </w:r>
          </w:p>
        </w:tc>
        <w:tc>
          <w:tcPr>
            <w:tcW w:w="595" w:type="dxa"/>
          </w:tcPr>
          <w:p>
            <w:pPr>
              <w:pStyle w:val="11"/>
              <w:spacing w:before="16" w:line="312" w:lineRule="exact"/>
              <w:ind w:left="113" w:right="21"/>
              <w:rPr>
                <w:sz w:val="21"/>
              </w:rPr>
            </w:pPr>
            <w:r>
              <w:rPr>
                <w:sz w:val="21"/>
              </w:rPr>
              <w:t>0.02</w:t>
            </w:r>
          </w:p>
        </w:tc>
      </w:tr>
    </w:tbl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4"/>
        <w:rPr>
          <w:sz w:val="37"/>
        </w:rPr>
      </w:pPr>
    </w:p>
    <w:sectPr>
      <w:type w:val="continuous"/>
      <w:pgSz w:w="11900" w:h="16840"/>
      <w:pgMar w:top="66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3735705</wp:posOffset>
              </wp:positionH>
              <wp:positionV relativeFrom="paragraph">
                <wp:posOffset>17145</wp:posOffset>
              </wp:positionV>
              <wp:extent cx="1905000" cy="86677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4430" y="487045"/>
                        <a:ext cx="1905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15pt;margin-top:1.35pt;height:68.25pt;width:150pt;z-index:251658240;mso-width-relative:page;mso-height-relative:page;" fillcolor="#FFFFFF" filled="t" stroked="f" coordsize="21600,21600" o:gfxdata="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R42qtYAAAAJAQAADwAAAAAAAAABACAAAAAiAAAAZHJzL2Rvd25y&#10;ZXYueG1sUEsBAhQAFAAAAAgAh07iQNcygNH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14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ca-ES" w:eastAsia="ca-ES" w:bidi="ca-E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ca-ES" w:eastAsia="ca-ES" w:bidi="ca-E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ca-ES" w:eastAsia="ca-ES" w:bidi="ca-E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ca-ES" w:eastAsia="ca-ES" w:bidi="ca-ES"/>
    </w:rPr>
  </w:style>
  <w:style w:type="paragraph" w:customStyle="1" w:styleId="11">
    <w:name w:val="Table Paragraph"/>
    <w:basedOn w:val="1"/>
    <w:qFormat/>
    <w:uiPriority w:val="1"/>
    <w:pPr>
      <w:ind w:left="74"/>
      <w:jc w:val="center"/>
    </w:pPr>
    <w:rPr>
      <w:rFonts w:ascii="微软雅黑" w:hAnsi="微软雅黑" w:eastAsia="微软雅黑" w:cs="微软雅黑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2019-03-20T06:20:00Z</dcterms:created>
  <dc:creator>94099</dc:creator>
  <cp:lastModifiedBy>Cute  princess</cp:lastModifiedBy>
  <dcterms:modified xsi:type="dcterms:W3CDTF">2019-03-20T06:25:12Z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2019-03-20T00:00:00Z</vt:filetime>
  </property>
  <property fmtid="{D5CDD505-2E9C-101B-9397-08002B2CF9AE}" pid="5" name="KSOProductBuildVer">
    <vt:lpwstr>2052-11.1.0.8527</vt:lpwstr>
  </property>
</Properties>
</file>