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</w:p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76200</wp:posOffset>
                </wp:positionV>
                <wp:extent cx="65322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430" y="1844040"/>
                          <a:ext cx="65322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pt;margin-top:6pt;height:0pt;width:514.35pt;z-index:251659264;mso-width-relative:page;mso-height-relative:page;" filled="f" stroked="t" coordsize="21600,21600" o:gfxdata="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w7p51QAAAAgBAAAPAAAAAAAA&#10;AAEAIAAAACIAAABkcnMvZG93bnJldi54bWxQSwECFAAUAAAACACHTuJAiWLvHtwBAAB5AwAADgAA&#10;AAAAAAABACAAAAAkAQAAZHJzL2Uyb0RvYy54bWxQSwUGAAAAAAYABgBZAQAAcgUAAAAA&#10;">
                <v:fill on="f" focussize="0,0"/>
                <v:stroke color="#7F7F7F [16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jc w:val="center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  <w:t>核酸助沉剂说明书</w:t>
      </w:r>
    </w:p>
    <w:bookmarkEnd w:id="0"/>
    <w:p>
      <w:pPr>
        <w:widowControl w:val="0"/>
        <w:jc w:val="center"/>
        <w:rPr>
          <w:rFonts w:hint="eastAsia" w:ascii="Arial" w:hAnsi="宋体"/>
          <w:b/>
          <w:bCs/>
          <w:color w:val="7F7F7F" w:themeColor="background1" w:themeShade="80"/>
          <w:shd w:val="clear" w:color="auto" w:fill="FFFFFF"/>
        </w:rPr>
      </w:pPr>
    </w:p>
    <w:p>
      <w:pPr>
        <w:widowControl w:val="0"/>
        <w:spacing w:line="360" w:lineRule="auto"/>
        <w:rPr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货号：R</w:t>
      </w:r>
      <w:r>
        <w:rPr>
          <w:rFonts w:hint="eastAsia"/>
          <w:b/>
          <w:color w:val="7F7F7F" w:themeColor="background1" w:themeShade="80"/>
          <w:szCs w:val="24"/>
          <w:lang w:val="en-US" w:eastAsia="zh-CN"/>
        </w:rPr>
        <w:t>C</w:t>
      </w:r>
      <w:r>
        <w:rPr>
          <w:rFonts w:hint="eastAsia"/>
          <w:b/>
          <w:color w:val="7F7F7F" w:themeColor="background1" w:themeShade="80"/>
          <w:szCs w:val="24"/>
        </w:rPr>
        <w:t>21042</w:t>
      </w:r>
    </w:p>
    <w:p>
      <w:pPr>
        <w:widowControl w:val="0"/>
        <w:spacing w:line="360" w:lineRule="auto"/>
        <w:rPr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规格：</w:t>
      </w:r>
      <w:r>
        <w:rPr>
          <w:b/>
          <w:color w:val="7F7F7F" w:themeColor="background1" w:themeShade="80"/>
          <w:szCs w:val="24"/>
        </w:rPr>
        <w:t xml:space="preserve">1ml/5ml </w:t>
      </w:r>
    </w:p>
    <w:p>
      <w:pPr>
        <w:widowControl w:val="0"/>
        <w:spacing w:line="360" w:lineRule="auto"/>
        <w:rPr>
          <w:rFonts w:hint="eastAsia"/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保存：-20℃保存，有效期至少</w:t>
      </w:r>
      <w:r>
        <w:rPr>
          <w:b/>
          <w:color w:val="7F7F7F" w:themeColor="background1" w:themeShade="80"/>
          <w:szCs w:val="24"/>
        </w:rPr>
        <w:t xml:space="preserve"> 12 </w:t>
      </w:r>
      <w:r>
        <w:rPr>
          <w:rFonts w:hint="eastAsia"/>
          <w:b/>
          <w:color w:val="7F7F7F" w:themeColor="background1" w:themeShade="80"/>
          <w:szCs w:val="24"/>
        </w:rPr>
        <w:t>个月。</w:t>
      </w:r>
    </w:p>
    <w:p>
      <w:pPr>
        <w:widowControl w:val="0"/>
        <w:spacing w:line="360" w:lineRule="auto"/>
        <w:rPr>
          <w:rFonts w:hint="eastAsia"/>
          <w:b/>
          <w:color w:val="7F7F7F" w:themeColor="background1" w:themeShade="80"/>
          <w:szCs w:val="24"/>
        </w:rPr>
      </w:pPr>
    </w:p>
    <w:p>
      <w:pPr>
        <w:widowControl w:val="0"/>
        <w:spacing w:line="360" w:lineRule="auto"/>
        <w:rPr>
          <w:rFonts w:hint="eastAsia" w:ascii="宋体" w:cs="宋体"/>
          <w:color w:val="7F7F7F" w:themeColor="background1" w:themeShade="80"/>
        </w:rPr>
      </w:pPr>
      <w:r>
        <w:rPr>
          <w:rFonts w:ascii="ˎ̥" w:hAnsi="ˎ̥" w:cs="宋体"/>
          <w:b/>
          <w:color w:val="7F7F7F" w:themeColor="background1" w:themeShade="80"/>
          <w:kern w:val="0"/>
        </w:rPr>
        <w:t>产品内容</w:t>
      </w:r>
      <w:r>
        <w:rPr>
          <w:rFonts w:hint="eastAsia" w:ascii="ˎ̥" w:hAnsi="ˎ̥" w:cs="宋体"/>
          <w:b/>
          <w:color w:val="7F7F7F" w:themeColor="background1" w:themeShade="80"/>
          <w:kern w:val="0"/>
        </w:rPr>
        <w:t>：</w:t>
      </w:r>
      <w:r>
        <w:rPr>
          <w:rFonts w:ascii="宋体" w:cs="宋体"/>
          <w:color w:val="7F7F7F" w:themeColor="background1" w:themeShade="80"/>
        </w:rPr>
        <w:t xml:space="preserve">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  <w:gridCol w:w="285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line="360" w:lineRule="auto"/>
              <w:ind w:left="100"/>
              <w:jc w:val="center"/>
              <w:rPr>
                <w:rFonts w:hint="eastAsia" w:ascii="ˎ̥" w:hAnsi="ˎ̥" w:cs="宋体"/>
                <w:b/>
                <w:color w:val="7F7F7F" w:themeColor="background1" w:themeShade="80"/>
                <w:kern w:val="0"/>
              </w:rPr>
            </w:pPr>
            <w:r>
              <w:rPr>
                <w:rFonts w:hint="eastAsia" w:ascii="宋体"/>
                <w:b/>
                <w:color w:val="7F7F7F" w:themeColor="background1" w:themeShade="80"/>
              </w:rPr>
              <w:t>产品内容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line="360" w:lineRule="auto"/>
              <w:ind w:left="100"/>
              <w:jc w:val="center"/>
              <w:rPr>
                <w:rFonts w:hint="eastAsia" w:ascii="ˎ̥" w:hAnsi="ˎ̥" w:cs="宋体"/>
                <w:b/>
                <w:color w:val="7F7F7F" w:themeColor="background1" w:themeShade="80"/>
                <w:kern w:val="0"/>
              </w:rPr>
            </w:pPr>
            <w:r>
              <w:rPr>
                <w:rFonts w:hint="eastAsia"/>
                <w:b/>
                <w:color w:val="7F7F7F" w:themeColor="background1" w:themeShade="80"/>
                <w:szCs w:val="24"/>
              </w:rPr>
              <w:t>R</w:t>
            </w:r>
            <w:r>
              <w:rPr>
                <w:rFonts w:hint="eastAsia"/>
                <w:b/>
                <w:color w:val="7F7F7F" w:themeColor="background1" w:themeShade="80"/>
                <w:szCs w:val="24"/>
                <w:lang w:val="en-US" w:eastAsia="zh-CN"/>
              </w:rPr>
              <w:t>C</w:t>
            </w:r>
            <w:r>
              <w:rPr>
                <w:rFonts w:hint="eastAsia"/>
                <w:b/>
                <w:color w:val="7F7F7F" w:themeColor="background1" w:themeShade="80"/>
                <w:szCs w:val="24"/>
              </w:rPr>
              <w:t>21042</w:t>
            </w:r>
            <w:r>
              <w:rPr>
                <w:rFonts w:hint="eastAsia"/>
                <w:b/>
                <w:bCs/>
                <w:color w:val="7F7F7F" w:themeColor="background1" w:themeShade="80"/>
              </w:rPr>
              <w:t>-1ml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line="360" w:lineRule="auto"/>
              <w:ind w:left="100"/>
              <w:jc w:val="center"/>
              <w:rPr>
                <w:rFonts w:hint="eastAsia"/>
                <w:b/>
                <w:color w:val="7F7F7F" w:themeColor="background1" w:themeShade="80"/>
                <w:szCs w:val="24"/>
              </w:rPr>
            </w:pPr>
            <w:r>
              <w:rPr>
                <w:rFonts w:hint="eastAsia"/>
                <w:b/>
                <w:color w:val="7F7F7F" w:themeColor="background1" w:themeShade="80"/>
                <w:szCs w:val="24"/>
              </w:rPr>
              <w:t>R</w:t>
            </w:r>
            <w:r>
              <w:rPr>
                <w:rFonts w:hint="eastAsia"/>
                <w:b/>
                <w:color w:val="7F7F7F" w:themeColor="background1" w:themeShade="80"/>
                <w:szCs w:val="24"/>
                <w:lang w:val="en-US" w:eastAsia="zh-CN"/>
              </w:rPr>
              <w:t>C</w:t>
            </w:r>
            <w:r>
              <w:rPr>
                <w:rFonts w:hint="eastAsia"/>
                <w:b/>
                <w:color w:val="7F7F7F" w:themeColor="background1" w:themeShade="80"/>
                <w:szCs w:val="24"/>
              </w:rPr>
              <w:t>21042</w:t>
            </w:r>
            <w:r>
              <w:rPr>
                <w:rFonts w:hint="eastAsia"/>
                <w:b/>
                <w:bCs/>
                <w:color w:val="7F7F7F" w:themeColor="background1" w:themeShade="80"/>
              </w:rPr>
              <w:t>-5ml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ind w:left="100"/>
              <w:jc w:val="center"/>
              <w:rPr>
                <w:rFonts w:hint="eastAsia" w:ascii="ˎ̥" w:hAnsi="ˎ̥" w:cs="宋体"/>
                <w:color w:val="7F7F7F" w:themeColor="background1" w:themeShade="80"/>
                <w:kern w:val="0"/>
              </w:rPr>
            </w:pPr>
            <w:r>
              <w:rPr>
                <w:rFonts w:hint="eastAsia" w:ascii="宋体"/>
                <w:color w:val="7F7F7F" w:themeColor="background1" w:themeShade="80"/>
              </w:rPr>
              <w:t>核酸助沉剂（20mg/ml）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ind w:left="100"/>
              <w:jc w:val="center"/>
              <w:rPr>
                <w:rFonts w:ascii="ˎ̥" w:hAnsi="ˎ̥" w:cs="宋体"/>
                <w:color w:val="7F7F7F" w:themeColor="background1" w:themeShade="80"/>
                <w:kern w:val="0"/>
              </w:rPr>
            </w:pPr>
            <w:r>
              <w:rPr>
                <w:rFonts w:hint="eastAsia"/>
                <w:color w:val="7F7F7F" w:themeColor="background1" w:themeShade="80"/>
              </w:rPr>
              <w:t>1ml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ind w:left="100"/>
              <w:jc w:val="center"/>
              <w:rPr>
                <w:rFonts w:hint="eastAsia"/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5ml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line="360" w:lineRule="auto"/>
              <w:ind w:left="100"/>
              <w:jc w:val="center"/>
              <w:rPr>
                <w:rFonts w:hint="eastAsia" w:ascii="ˎ̥" w:hAnsi="ˎ̥" w:cs="宋体"/>
                <w:color w:val="7F7F7F" w:themeColor="background1" w:themeShade="80"/>
                <w:kern w:val="0"/>
              </w:rPr>
            </w:pPr>
            <w:r>
              <w:rPr>
                <w:rFonts w:hint="eastAsia" w:ascii="宋体"/>
                <w:color w:val="7F7F7F" w:themeColor="background1" w:themeShade="80"/>
              </w:rPr>
              <w:t>说明书</w:t>
            </w:r>
          </w:p>
        </w:tc>
        <w:tc>
          <w:tcPr>
            <w:tcW w:w="5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line="360" w:lineRule="auto"/>
              <w:ind w:left="100"/>
              <w:jc w:val="center"/>
              <w:rPr>
                <w:rFonts w:hint="eastAsia"/>
                <w:color w:val="7F7F7F" w:themeColor="background1" w:themeShade="80"/>
              </w:rPr>
            </w:pPr>
            <w:r>
              <w:rPr>
                <w:rFonts w:hint="eastAsia"/>
                <w:color w:val="7F7F7F" w:themeColor="background1" w:themeShade="80"/>
              </w:rPr>
              <w:t>1份</w:t>
            </w:r>
          </w:p>
        </w:tc>
      </w:tr>
    </w:tbl>
    <w:p>
      <w:pPr>
        <w:widowControl w:val="0"/>
        <w:spacing w:before="160" w:line="360" w:lineRule="auto"/>
        <w:rPr>
          <w:rFonts w:hint="eastAsia"/>
          <w:color w:val="7F7F7F" w:themeColor="background1" w:themeShade="80"/>
          <w:szCs w:val="24"/>
        </w:rPr>
      </w:pPr>
      <w:r>
        <w:rPr>
          <w:rFonts w:hint="eastAsia" w:ascii="ˎ̥" w:hAnsi="ˎ̥" w:cs="宋体"/>
          <w:b/>
          <w:color w:val="7F7F7F" w:themeColor="background1" w:themeShade="80"/>
          <w:kern w:val="0"/>
        </w:rPr>
        <w:t>产品说明：</w:t>
      </w:r>
      <w:r>
        <w:rPr>
          <w:rFonts w:cs="宋体"/>
          <w:color w:val="7F7F7F" w:themeColor="background1" w:themeShade="80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color w:val="7F7F7F" w:themeColor="background1" w:themeShade="80"/>
          <w:shd w:val="clear" w:color="auto" w:fill="FFFFFF"/>
        </w:rPr>
      </w:pPr>
      <w:r>
        <w:rPr>
          <w:rFonts w:hint="eastAsia"/>
          <w:color w:val="7F7F7F" w:themeColor="background1" w:themeShade="80"/>
          <w:szCs w:val="24"/>
        </w:rPr>
        <w:t xml:space="preserve">   </w:t>
      </w:r>
      <w:r>
        <w:rPr>
          <w:rFonts w:hint="eastAsia" w:ascii="宋体" w:hAnsi="宋体" w:cs="宋体"/>
          <w:color w:val="7F7F7F" w:themeColor="background1" w:themeShade="80"/>
          <w:shd w:val="clear" w:color="auto" w:fill="FFFFFF"/>
        </w:rPr>
        <w:t>本产品为分子生物学级Glycogen(糖原)，不含DNase，不含RNase，可以用作沉淀DNA或RNA的辅助沉淀剂(used as a carrier for the precipitation of DNA or RNA)。</w:t>
      </w:r>
    </w:p>
    <w:p>
      <w:pPr>
        <w:spacing w:line="360" w:lineRule="auto"/>
        <w:rPr>
          <w:rFonts w:hint="eastAsia" w:ascii="宋体" w:hAnsi="宋体" w:cs="宋体"/>
          <w:color w:val="7F7F7F" w:themeColor="background1" w:themeShade="80"/>
          <w:shd w:val="clear" w:color="auto" w:fill="FFFFFF"/>
        </w:rPr>
      </w:pPr>
      <w:r>
        <w:rPr>
          <w:rFonts w:hint="eastAsia" w:ascii="宋体" w:hAnsi="宋体" w:cs="宋体"/>
          <w:color w:val="7F7F7F" w:themeColor="background1" w:themeShade="80"/>
          <w:shd w:val="clear" w:color="auto" w:fill="FFFFFF"/>
        </w:rPr>
        <w:t xml:space="preserve">    作为DNA或RNA的辅助沉淀剂，大多数情况下glycogen比tRNA或超声处理过的DNA效果更好。由于glycogen中不含DNA和RNA，因此用glycogen作为辅助沉淀剂沉淀下来的核酸更适合于后续的PCR、RT-PCR以及内切酶等核酸酶反应。而tRNA或超声处理过的DNA作为辅助沉淀剂有时会干扰PCR、RT-PCR以及内切酶等核酸酶反应。</w:t>
      </w:r>
    </w:p>
    <w:p>
      <w:pPr>
        <w:spacing w:line="360" w:lineRule="auto"/>
        <w:ind w:firstLine="420"/>
        <w:rPr>
          <w:rFonts w:hint="eastAsia" w:ascii="宋体" w:hAnsi="宋体" w:cs="宋体"/>
          <w:color w:val="7F7F7F" w:themeColor="background1" w:themeShade="80"/>
          <w:shd w:val="clear" w:color="auto" w:fill="FFFFFF"/>
        </w:rPr>
      </w:pPr>
      <w:r>
        <w:rPr>
          <w:rFonts w:hint="eastAsia" w:ascii="宋体" w:hAnsi="宋体" w:cs="宋体"/>
          <w:color w:val="7F7F7F" w:themeColor="background1" w:themeShade="80"/>
          <w:shd w:val="clear" w:color="auto" w:fill="FFFFFF"/>
        </w:rPr>
        <w:t>据文献报道，连接反应产物用glycogen沉淀后对于后续的细菌转化没有干扰，0.001mg/ml glycogen不会抑制TdT，浓度不大于2mg/ml的glycogen不会影响反转录酶的活力，0.02mg/ml glycogen不会抑制T4 RNA ligase。Glycogen会干扰DNA和蛋白的相互作用。通常1ul Glycogen (20mg/ml)即可把少至皮克(pg)级的DNA或RNA从1毫升的溶液体系中沉淀出来。每个包装至少足够沉淀500个常规量的DNA或RNA样品。</w:t>
      </w:r>
    </w:p>
    <w:p>
      <w:pPr>
        <w:widowControl w:val="0"/>
        <w:spacing w:before="160" w:line="360" w:lineRule="auto"/>
        <w:rPr>
          <w:color w:val="7F7F7F" w:themeColor="background1" w:themeShade="80"/>
          <w:sz w:val="24"/>
          <w:szCs w:val="24"/>
        </w:rPr>
      </w:pPr>
      <w:r>
        <w:rPr>
          <w:rFonts w:hint="eastAsia" w:cs="宋体"/>
          <w:b/>
          <w:color w:val="7F7F7F" w:themeColor="background1" w:themeShade="80"/>
        </w:rPr>
        <w:t>注意事项</w:t>
      </w:r>
      <w:r>
        <w:rPr>
          <w:rFonts w:hint="eastAsia" w:cs="宋体"/>
          <w:color w:val="7F7F7F" w:themeColor="background1" w:themeShade="80"/>
        </w:rPr>
        <w:t>：</w:t>
      </w:r>
    </w:p>
    <w:p>
      <w:pPr>
        <w:widowControl w:val="0"/>
        <w:numPr>
          <w:ilvl w:val="0"/>
          <w:numId w:val="1"/>
        </w:numPr>
        <w:spacing w:line="360" w:lineRule="auto"/>
        <w:ind w:left="770" w:leftChars="200" w:hanging="330" w:hangingChars="15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通常每个样品加入1微升Glycogen(20mg/ml)即可，对于已知糖原可能对后续反应有干扰的情况，可以适当减少糖原用量，或使用tRNA等作为辅助沉淀剂。</w:t>
      </w:r>
    </w:p>
    <w:p>
      <w:pPr>
        <w:widowControl w:val="0"/>
        <w:spacing w:line="360" w:lineRule="auto"/>
        <w:ind w:firstLine="440" w:firstLineChars="200"/>
        <w:rPr>
          <w:rFonts w:ascii="PMingLiU"/>
          <w:sz w:val="20"/>
        </w:rPr>
      </w:pPr>
      <w:r>
        <w:rPr>
          <w:rFonts w:hint="eastAsia"/>
          <w:color w:val="7F7F7F" w:themeColor="background1" w:themeShade="80"/>
          <w:szCs w:val="24"/>
        </w:rPr>
        <w:t>2、为了您的安全和健康，请穿实验服并戴一次性手套。</w:t>
      </w: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4"/>
      </w:pPr>
    </w:p>
    <w:p>
      <w:pPr>
        <w:pStyle w:val="2"/>
        <w:rPr>
          <w:rFonts w:ascii="PMingLiU"/>
          <w:sz w:val="20"/>
        </w:rPr>
      </w:pPr>
    </w:p>
    <w:p>
      <w:pPr>
        <w:tabs>
          <w:tab w:val="center" w:pos="5285"/>
        </w:tabs>
        <w:spacing w:before="81"/>
        <w:ind w:right="4599"/>
        <w:jc w:val="both"/>
        <w:rPr>
          <w:rFonts w:hint="eastAsia" w:eastAsia="宋体"/>
          <w:sz w:val="18"/>
          <w:lang w:eastAsia="zh-CN"/>
        </w:rPr>
      </w:pPr>
      <w:r>
        <w:rPr>
          <w:rFonts w:hint="eastAsia"/>
          <w:sz w:val="18"/>
          <w:lang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560" w:right="600" w:bottom="280" w:left="74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0" w:firstLineChars="250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5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291465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765" cy="888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3.2pt;margin-top:22.95pt;height:69.95pt;width:151.95pt;z-index:251658240;mso-width-relative:page;mso-height-relative:page;" fillcolor="#FFFFFF [3201]" filled="t" stroked="t" coordsize="21600,21600" o:gfxdata="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Q/nZx2QAAAAoBAAAPAAAAAAAAAAEAIAAAACIAAABkcnMvZG93&#10;bnJldi54bWxQSwECFAAUAAAACACHTuJAcMAUMjgCAABqBAAADgAAAAAAAAABACAAAAAoAQAAZHJz&#10;L2Uyb0RvYy54bWxQSwUGAAAAAAYABgBZAQAA0gUAAAAA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D6A3"/>
    <w:multiLevelType w:val="singleLevel"/>
    <w:tmpl w:val="5719D6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3C6B"/>
    <w:rsid w:val="09774B8C"/>
    <w:rsid w:val="117746A6"/>
    <w:rsid w:val="16AE1876"/>
    <w:rsid w:val="1E0105B9"/>
    <w:rsid w:val="4AD83765"/>
    <w:rsid w:val="4B941F08"/>
    <w:rsid w:val="4D205728"/>
    <w:rsid w:val="69942D01"/>
    <w:rsid w:val="6AB11E72"/>
    <w:rsid w:val="713C0F6F"/>
    <w:rsid w:val="7B674E13"/>
    <w:rsid w:val="7EFA1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2018-05-30T02:19:00Z</dcterms:created>
  <dc:creator>User</dc:creator>
  <cp:lastModifiedBy>联硕生物陈曦</cp:lastModifiedBy>
  <dcterms:modified xsi:type="dcterms:W3CDTF">2018-06-06T07:52:43Z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2018-05-30T00:00:00Z</vt:filetime>
  </property>
  <property fmtid="{D5CDD505-2E9C-101B-9397-08002B2CF9AE}" pid="5" name="KSOProductBuildVer">
    <vt:lpwstr>2052-10.1.0.7400</vt:lpwstr>
  </property>
</Properties>
</file>