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Hoechst33258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含封片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457"/>
            <w:col w:w="683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0" w:firstLine="52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Hoechst</w:t>
      </w:r>
      <w:r>
        <w:rPr>
          <w:rFonts w:hint="eastAsia"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33258也称bisBenzimide</w:t>
      </w:r>
      <w:r>
        <w:rPr>
          <w:rFonts w:hint="eastAsia"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33258或HOE</w:t>
      </w:r>
      <w:r>
        <w:rPr>
          <w:rFonts w:hint="eastAsia"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33258，分子式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为 </w:t>
      </w:r>
      <w:r>
        <w:rPr>
          <w:rFonts w:hint="eastAsia" w:ascii="宋体" w:hAnsi="宋体" w:eastAsia="宋体" w:cs="宋体"/>
          <w:sz w:val="21"/>
          <w:szCs w:val="21"/>
        </w:rPr>
        <w:t>C25H24N6O</w:t>
      </w:r>
      <w:r>
        <w:rPr>
          <w:rFonts w:hint="eastAsia"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· 3HCl，分子量</w:t>
      </w:r>
      <w:r>
        <w:rPr>
          <w:rFonts w:hint="eastAsia" w:ascii="宋体" w:hAnsi="宋体" w:eastAsia="宋体" w:cs="宋体"/>
          <w:spacing w:val="-13"/>
          <w:sz w:val="21"/>
          <w:szCs w:val="21"/>
        </w:rPr>
        <w:t xml:space="preserve">为 </w:t>
      </w:r>
      <w:r>
        <w:rPr>
          <w:rFonts w:hint="eastAsia" w:ascii="宋体" w:hAnsi="宋体" w:eastAsia="宋体" w:cs="宋体"/>
          <w:sz w:val="21"/>
          <w:szCs w:val="21"/>
        </w:rPr>
        <w:t>533.88，CAS</w:t>
      </w:r>
      <w:r>
        <w:rPr>
          <w:rFonts w:hint="eastAsia" w:ascii="宋体" w:hAnsi="宋体" w:eastAsia="宋体" w:cs="宋体"/>
          <w:spacing w:val="17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Number</w:t>
      </w:r>
      <w:r>
        <w:rPr>
          <w:rFonts w:hint="eastAsia" w:ascii="宋体" w:hAnsi="宋体" w:eastAsia="宋体" w:cs="宋体"/>
          <w:spacing w:val="2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23491-45-4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Hoechst</w:t>
      </w:r>
      <w:r>
        <w:rPr>
          <w:rFonts w:hint="eastAsia" w:ascii="宋体" w:hAnsi="宋体" w:eastAsia="宋体" w:cs="宋体"/>
          <w:spacing w:val="19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33258</w:t>
      </w:r>
      <w:r>
        <w:rPr>
          <w:rFonts w:hint="eastAsia" w:ascii="宋体" w:hAnsi="宋体" w:eastAsia="宋体" w:cs="宋体"/>
          <w:spacing w:val="18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是一种可以穿透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细胞膜的蓝色荧光染料，对细胞的毒性较低，常用于细胞凋亡检测，染色后用荧光显微镜观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>察或流式细胞仪检测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  <w:r>
        <w:rPr>
          <w:rFonts w:hint="eastAsia" w:ascii="宋体" w:hAnsi="宋体" w:eastAsia="宋体" w:cs="宋体"/>
          <w:w w:val="105"/>
          <w:sz w:val="21"/>
          <w:szCs w:val="21"/>
        </w:rPr>
        <w:t>Hoechst 33258 也用于普通的细胞核染色、DNA 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 w:right="169" w:firstLine="52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05"/>
          <w:sz w:val="21"/>
          <w:szCs w:val="21"/>
        </w:rPr>
        <w:t xml:space="preserve">Hoechst 33258 的最大激发波长为 346nm，最大发射波长为 460nm，Hoechst </w:t>
      </w:r>
      <w:r>
        <w:rPr>
          <w:rFonts w:hint="eastAsia" w:ascii="宋体" w:hAnsi="宋体" w:eastAsia="宋体" w:cs="宋体"/>
          <w:sz w:val="21"/>
          <w:szCs w:val="21"/>
        </w:rPr>
        <w:t>33258和双链DNA结合后，最大激发波长为352nm，最大发射波长为461nm。Hoechst33258 染色液(含封片剂)可直接用于固定细胞或组织的细胞核染色，也可直接用于</w:t>
      </w:r>
      <w:r>
        <w:rPr>
          <w:rFonts w:hint="eastAsia" w:ascii="宋体" w:hAnsi="宋体" w:eastAsia="宋体" w:cs="宋体"/>
          <w:w w:val="105"/>
          <w:sz w:val="21"/>
          <w:szCs w:val="21"/>
        </w:rPr>
        <w:t>活细胞或组织的细胞核染色，无需单独封片。</w:t>
      </w:r>
    </w:p>
    <w:p>
      <w:pPr>
        <w:pStyle w:val="4"/>
        <w:ind w:lef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3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851"/>
          <w:tab w:val="left" w:pos="4783"/>
        </w:tabs>
        <w:spacing w:before="0"/>
        <w:ind w:left="127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Hoechst 33258</w:t>
      </w:r>
      <w:r>
        <w:rPr>
          <w:rFonts w:hint="eastAsia" w:ascii="宋体" w:hAnsi="宋体" w:eastAsia="宋体" w:cs="宋体"/>
          <w:spacing w:val="-8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Staining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-20</w:t>
      </w:r>
      <w:r>
        <w:rPr>
          <w:rFonts w:hint="eastAsia" w:ascii="宋体" w:hAnsi="宋体" w:eastAsia="宋体" w:cs="宋体"/>
          <w:spacing w:val="-1"/>
          <w:sz w:val="19"/>
        </w:rPr>
        <w:t xml:space="preserve">℃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微量移液器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(</w:t>
      </w:r>
      <w:r>
        <w:rPr>
          <w:rFonts w:hint="eastAsia" w:ascii="宋体" w:hAnsi="宋体" w:eastAsia="宋体" w:cs="宋体"/>
          <w:spacing w:val="-1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固定的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right="1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品，固定后冲洗去除固定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先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   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光染色，染色完</w:t>
      </w:r>
      <w:r>
        <w:rPr>
          <w:rFonts w:hint="eastAsia" w:ascii="宋体" w:hAnsi="宋体" w:eastAsia="宋体" w:cs="宋体"/>
        </w:rPr>
        <w:t>毕</w:t>
      </w:r>
      <w:r>
        <w:rPr>
          <w:rFonts w:hint="eastAsia" w:ascii="宋体" w:hAnsi="宋体" w:eastAsia="宋体" w:cs="宋体"/>
        </w:rPr>
        <w:t>后再按后</w:t>
      </w:r>
      <w:r>
        <w:rPr>
          <w:rFonts w:hint="eastAsia" w:ascii="宋体" w:hAnsi="宋体" w:eastAsia="宋体" w:cs="宋体"/>
        </w:rPr>
        <w:t>续步骤进</w:t>
      </w:r>
      <w:r>
        <w:rPr>
          <w:rFonts w:hint="eastAsia" w:ascii="宋体" w:hAnsi="宋体" w:eastAsia="宋体" w:cs="宋体"/>
          <w:spacing w:val="14"/>
        </w:rPr>
        <w:t xml:space="preserve">行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 xml:space="preserve">33258 </w:t>
      </w:r>
      <w:r>
        <w:rPr>
          <w:rFonts w:hint="eastAsia" w:ascii="宋体" w:hAnsi="宋体" w:eastAsia="宋体" w:cs="宋体"/>
        </w:rPr>
        <w:t>染色，如果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行其它染色，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直接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  <w:spacing w:val="23"/>
        </w:rPr>
        <w:t xml:space="preserve">的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36"/>
        </w:rPr>
        <w:t xml:space="preserve"> </w:t>
      </w:r>
      <w:r>
        <w:rPr>
          <w:rFonts w:hint="eastAsia" w:ascii="宋体" w:hAnsi="宋体" w:eastAsia="宋体" w:cs="宋体"/>
        </w:rPr>
        <w:t>33258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染色。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切片，加入少量</w:t>
      </w:r>
      <w:r>
        <w:rPr>
          <w:rFonts w:hint="eastAsia" w:ascii="宋体" w:hAnsi="宋体" w:eastAsia="宋体" w:cs="宋体"/>
        </w:rPr>
        <w:t>Hoechst33258</w:t>
      </w:r>
      <w:r>
        <w:rPr>
          <w:rFonts w:hint="eastAsia" w:ascii="宋体" w:hAnsi="宋体" w:eastAsia="宋体" w:cs="宋体"/>
          <w:spacing w:val="3"/>
        </w:rPr>
        <w:t xml:space="preserve">  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含封片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，覆盖住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品即可。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胞，至少加入待染色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倍体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 xml:space="preserve">以上的 </w:t>
      </w:r>
      <w:r>
        <w:rPr>
          <w:rFonts w:hint="eastAsia" w:ascii="宋体" w:hAnsi="宋体" w:eastAsia="宋体" w:cs="宋体"/>
        </w:rPr>
        <w:t>Hoechst33258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含封片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，充分混匀。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、室温放置 </w:t>
      </w: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8min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 xml:space="preserve">Hoechst33258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含封片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、无需封片，直接在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孔板培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胞至合适状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 xml:space="preserve">，按 </w:t>
      </w:r>
      <w:r>
        <w:rPr>
          <w:rFonts w:hint="eastAsia" w:ascii="宋体" w:hAnsi="宋体" w:eastAsia="宋体" w:cs="宋体"/>
          <w:w w:val="105"/>
        </w:rPr>
        <w:t xml:space="preserve">96 </w:t>
      </w:r>
      <w:r>
        <w:rPr>
          <w:rFonts w:hint="eastAsia" w:ascii="宋体" w:hAnsi="宋体" w:eastAsia="宋体" w:cs="宋体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24 </w:t>
      </w:r>
      <w:r>
        <w:rPr>
          <w:rFonts w:hint="eastAsia" w:ascii="宋体" w:hAnsi="宋体" w:eastAsia="宋体" w:cs="宋体"/>
          <w:w w:val="105"/>
        </w:rPr>
        <w:t xml:space="preserve">孔板加入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 xml:space="preserve">孔板加入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 xml:space="preserve">的比例，加入适当的 </w:t>
      </w:r>
      <w:r>
        <w:rPr>
          <w:rFonts w:hint="eastAsia" w:ascii="宋体" w:hAnsi="宋体" w:eastAsia="宋体" w:cs="宋体"/>
        </w:rPr>
        <w:t xml:space="preserve">Hoechst33258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含封片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，染液必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充分覆盖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、在适宜于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的条件下培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吸除 </w:t>
      </w:r>
      <w:r>
        <w:rPr>
          <w:rFonts w:hint="eastAsia" w:ascii="宋体" w:hAnsi="宋体" w:eastAsia="宋体" w:cs="宋体"/>
          <w:w w:val="105"/>
        </w:rPr>
        <w:t xml:space="preserve">Hoechst33258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含封片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、用无菌的 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水清洗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、无需封片，直接在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w w:val="105"/>
        </w:rPr>
        <w:t>染色液的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度适用于大多数常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染色的需要。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光染料都存在淬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问题</w:t>
      </w:r>
      <w:r>
        <w:rPr>
          <w:rFonts w:hint="eastAsia" w:ascii="宋体" w:hAnsi="宋体" w:eastAsia="宋体" w:cs="宋体"/>
          <w:w w:val="105"/>
        </w:rPr>
        <w:t>，建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w w:val="105"/>
        </w:rPr>
        <w:t>染色后尽快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。活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染色后宜立即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5578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3697605</wp:posOffset>
              </wp:positionH>
              <wp:positionV relativeFrom="paragraph">
                <wp:posOffset>-11430</wp:posOffset>
              </wp:positionV>
              <wp:extent cx="200977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64405" y="458470"/>
                        <a:ext cx="20097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-0.9pt;height:70.5pt;width:158.25pt;z-index:251658240;mso-width-relative:page;mso-height-relative:page;" fillcolor="#FFFFFF" filled="t" stroked="f" coordsize="21600,21600" o:gfxdata="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j0dw9cAAAAKAQAADwAAAAAAAAABACAAAAAiAAAAZHJzL2Rvd25y&#10;ZXYueG1sUEsBAhQAFAAAAAgAh07iQMghhz3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42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382" w:lineRule="exact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2019-05-10T08:47:00Z</dcterms:created>
  <dc:creator>94099</dc:creator>
  <cp:lastModifiedBy>Cute  princess</cp:lastModifiedBy>
  <dcterms:modified xsi:type="dcterms:W3CDTF">2019-05-10T08:51:07Z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2019-05-10T00:00:00Z</vt:filetime>
  </property>
  <property fmtid="{D5CDD505-2E9C-101B-9397-08002B2CF9AE}" pid="5" name="KSOProductBuildVer">
    <vt:lpwstr>2052-11.1.0.8612</vt:lpwstr>
  </property>
</Properties>
</file>