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bookmarkStart w:id="0" w:name="_GoBack"/>
      <w:bookmarkEnd w:id="0"/>
    </w:p>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935355</wp:posOffset>
                </wp:positionH>
                <wp:positionV relativeFrom="page">
                  <wp:posOffset>1658620</wp:posOffset>
                </wp:positionV>
                <wp:extent cx="5972810" cy="2540"/>
                <wp:effectExtent l="0" t="0" r="0" b="0"/>
                <wp:wrapNone/>
                <wp:docPr id="3" name="直线 2"/>
                <wp:cNvGraphicFramePr/>
                <a:graphic xmlns:a="http://schemas.openxmlformats.org/drawingml/2006/main">
                  <a:graphicData uri="http://schemas.microsoft.com/office/word/2010/wordprocessingShape">
                    <wps:wsp>
                      <wps:cNvCnPr/>
                      <wps:spPr>
                        <a:xfrm>
                          <a:off x="935355" y="1658620"/>
                          <a:ext cx="597281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5pt;margin-top:130.6pt;height:0.2pt;width:470.3pt;mso-position-horizontal-relative:page;mso-position-vertical-relative:page;z-index:251658240;mso-width-relative:page;mso-height-relative:page;" filled="f" stroked="t" coordsize="21600,21600" o:gfxdata="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O6UV2AAAAAwB&#10;AAAPAAAAAAAAAAEAIAAAACIAAABkcnMvZG93bnJldi54bWxQSwECFAAUAAAACACHTuJAEEODsuIB&#10;AACpAwAADgAAAAAAAAABACAAAAAnAQAAZHJzL2Uyb0RvYy54bWxQSwUGAAAAAAYABgBZAQAAewUA&#10;AAAA&#10;">
                <v:fill on="f" focussize="0,0"/>
                <v:stroke color="#000000" joinstyle="round"/>
                <v:imagedata o:title=""/>
                <o:lock v:ext="edit" aspectratio="f"/>
              </v:line>
            </w:pict>
          </mc:Fallback>
        </mc:AlternateContent>
      </w:r>
    </w:p>
    <w:p>
      <w:pPr>
        <w:pStyle w:val="3"/>
        <w:rPr>
          <w:b/>
          <w:sz w:val="20"/>
        </w:rPr>
      </w:pPr>
    </w:p>
    <w:p>
      <w:pPr>
        <w:pStyle w:val="3"/>
        <w:spacing w:before="7"/>
        <w:rPr>
          <w:b/>
          <w:sz w:val="23"/>
        </w:rPr>
      </w:pPr>
    </w:p>
    <w:p>
      <w:pPr>
        <w:spacing w:after="0"/>
        <w:rPr>
          <w:sz w:val="23"/>
        </w:rPr>
        <w:sectPr>
          <w:headerReference r:id="rId3" w:type="default"/>
          <w:type w:val="continuous"/>
          <w:pgSz w:w="11900" w:h="16840"/>
          <w:pgMar w:top="660" w:right="1300" w:bottom="280" w:left="1680" w:header="720" w:footer="720" w:gutter="0"/>
        </w:sectPr>
      </w:pPr>
    </w:p>
    <w:p>
      <w:pPr>
        <w:pStyle w:val="3"/>
        <w:rPr>
          <w:b/>
          <w:sz w:val="24"/>
        </w:rPr>
      </w:pPr>
    </w:p>
    <w:p>
      <w:pPr>
        <w:pStyle w:val="2"/>
        <w:keepNext w:val="0"/>
        <w:keepLines w:val="0"/>
        <w:pageBreakBefore w:val="0"/>
        <w:widowControl w:val="0"/>
        <w:kinsoku/>
        <w:wordWrap/>
        <w:overflowPunct/>
        <w:topLinePunct w:val="0"/>
        <w:autoSpaceDE w:val="0"/>
        <w:autoSpaceDN w:val="0"/>
        <w:bidi w:val="0"/>
        <w:adjustRightInd/>
        <w:snapToGrid/>
        <w:spacing w:before="196" w:line="350" w:lineRule="exact"/>
        <w:textAlignment w:val="auto"/>
        <w:rPr>
          <w:rFonts w:hint="eastAsia" w:ascii="宋体" w:hAnsi="宋体" w:eastAsia="宋体" w:cs="宋体"/>
        </w:rPr>
      </w:pPr>
      <w:r>
        <w:rPr>
          <w:rFonts w:hint="eastAsia" w:ascii="宋体" w:hAnsi="宋体" w:eastAsia="宋体" w:cs="宋体"/>
        </w:rPr>
        <w:t>产品简介：</w:t>
      </w:r>
    </w:p>
    <w:p>
      <w:pPr>
        <w:keepNext w:val="0"/>
        <w:keepLines w:val="0"/>
        <w:pageBreakBefore w:val="0"/>
        <w:widowControl w:val="0"/>
        <w:kinsoku/>
        <w:wordWrap/>
        <w:overflowPunct/>
        <w:topLinePunct w:val="0"/>
        <w:autoSpaceDE w:val="0"/>
        <w:autoSpaceDN w:val="0"/>
        <w:bidi w:val="0"/>
        <w:adjustRightInd/>
        <w:snapToGrid/>
        <w:spacing w:before="18" w:line="350" w:lineRule="exact"/>
        <w:ind w:left="405" w:right="0" w:firstLine="0"/>
        <w:jc w:val="left"/>
        <w:textAlignment w:val="auto"/>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苏丹Ⅲ染色液</w:t>
      </w: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宋体" w:hAnsi="宋体" w:eastAsia="宋体" w:cs="宋体"/>
          <w:sz w:val="30"/>
        </w:rPr>
        <w:sectPr>
          <w:type w:val="continuous"/>
          <w:pgSz w:w="11900" w:h="16840"/>
          <w:pgMar w:top="660" w:right="1300" w:bottom="280" w:left="1680" w:header="720" w:footer="720" w:gutter="0"/>
          <w:cols w:equalWidth="0" w:num="2">
            <w:col w:w="1646" w:space="1659"/>
            <w:col w:w="5615"/>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right="153" w:firstLine="436"/>
        <w:jc w:val="both"/>
        <w:textAlignment w:val="auto"/>
        <w:rPr>
          <w:rFonts w:hint="eastAsia" w:ascii="宋体" w:hAnsi="宋体" w:eastAsia="宋体" w:cs="宋体"/>
        </w:rPr>
      </w:pPr>
      <w:r>
        <w:rPr>
          <w:rFonts w:hint="eastAsia" w:ascii="宋体" w:hAnsi="宋体" w:eastAsia="宋体" w:cs="宋体"/>
        </w:rPr>
        <w:t xml:space="preserve">脂质(Lipid)是中性脂肪、类脂及其衍生物的总称，其共同的物理特性是不溶于水，易   </w:t>
      </w:r>
      <w:r>
        <w:rPr>
          <w:rFonts w:hint="eastAsia" w:ascii="宋体" w:hAnsi="宋体" w:eastAsia="宋体" w:cs="宋体"/>
          <w:w w:val="105"/>
        </w:rPr>
        <w:t>溶于有机溶剂(如乙醇、乙醚等)。人体的脂肪主要有两种</w:t>
      </w:r>
      <w:r>
        <w:rPr>
          <w:rFonts w:hint="eastAsia" w:ascii="宋体" w:hAnsi="宋体" w:eastAsia="宋体" w:cs="宋体"/>
          <w:w w:val="120"/>
        </w:rPr>
        <w:t>：1、</w:t>
      </w:r>
      <w:r>
        <w:rPr>
          <w:rFonts w:hint="eastAsia" w:ascii="宋体" w:hAnsi="宋体" w:eastAsia="宋体" w:cs="宋体"/>
          <w:w w:val="105"/>
        </w:rPr>
        <w:t>储存脂肪，如中性脂肪，主要分布于皮下、肾、胰腺等部位。2</w:t>
      </w:r>
      <w:r>
        <w:rPr>
          <w:rFonts w:hint="eastAsia" w:ascii="宋体" w:hAnsi="宋体" w:eastAsia="宋体" w:cs="宋体"/>
          <w:w w:val="120"/>
        </w:rPr>
        <w:t>、</w:t>
      </w:r>
      <w:r>
        <w:rPr>
          <w:rFonts w:hint="eastAsia" w:ascii="宋体" w:hAnsi="宋体" w:eastAsia="宋体" w:cs="宋体"/>
          <w:w w:val="105"/>
        </w:rPr>
        <w:t xml:space="preserve">结构脂肪，如类脂(磷脂、糖脂、胆固醇等)，主要分  </w:t>
      </w:r>
      <w:r>
        <w:rPr>
          <w:rFonts w:hint="eastAsia" w:ascii="宋体" w:hAnsi="宋体" w:eastAsia="宋体" w:cs="宋体"/>
        </w:rPr>
        <w:t>布于细胞内。中性脂肪(Neutral</w:t>
      </w:r>
      <w:r>
        <w:rPr>
          <w:rFonts w:hint="eastAsia" w:ascii="宋体" w:hAnsi="宋体" w:eastAsia="宋体" w:cs="宋体"/>
          <w:spacing w:val="43"/>
        </w:rPr>
        <w:t xml:space="preserve"> </w:t>
      </w:r>
      <w:r>
        <w:rPr>
          <w:rFonts w:hint="eastAsia" w:ascii="宋体" w:hAnsi="宋体" w:eastAsia="宋体" w:cs="宋体"/>
        </w:rPr>
        <w:t>fat)是由三分子脂肪酸和一分子甘油组成的脂类，呈中性。中性脂肪是储存能量的方式之一，在氧化时释放出能量。在正常情况下，除脂肪细胞外其他细胞在光学显微镜下几乎看不到脂滴，如果细胞质内出现大量脂滴即为脂肪变性，常见</w:t>
      </w:r>
      <w:r>
        <w:rPr>
          <w:rFonts w:hint="eastAsia" w:ascii="宋体" w:hAnsi="宋体" w:eastAsia="宋体" w:cs="宋体"/>
          <w:spacing w:val="-10"/>
        </w:rPr>
        <w:t>于肝</w:t>
      </w:r>
      <w:r>
        <w:rPr>
          <w:rFonts w:hint="eastAsia" w:ascii="宋体" w:hAnsi="宋体" w:eastAsia="宋体" w:cs="宋体"/>
          <w:w w:val="105"/>
        </w:rPr>
        <w:t>细胞、心肌细胞、肾曲管上皮细胞等。中性脂肪染色经常采用苏丹Ⅱ、苏丹Ⅲ、苏丹Ⅳ、</w:t>
      </w:r>
      <w:r>
        <w:rPr>
          <w:rFonts w:hint="eastAsia" w:ascii="宋体" w:hAnsi="宋体" w:eastAsia="宋体" w:cs="宋体"/>
          <w:spacing w:val="-19"/>
          <w:w w:val="105"/>
        </w:rPr>
        <w:t>苏</w:t>
      </w:r>
      <w:r>
        <w:rPr>
          <w:rFonts w:hint="eastAsia" w:ascii="宋体" w:hAnsi="宋体" w:eastAsia="宋体" w:cs="宋体"/>
          <w:spacing w:val="8"/>
        </w:rPr>
        <w:t xml:space="preserve">丹黑 </w:t>
      </w:r>
      <w:r>
        <w:rPr>
          <w:rFonts w:hint="eastAsia" w:ascii="宋体" w:hAnsi="宋体" w:eastAsia="宋体" w:cs="宋体"/>
        </w:rPr>
        <w:t>B、油</w:t>
      </w:r>
      <w:r>
        <w:rPr>
          <w:rFonts w:hint="eastAsia" w:ascii="宋体" w:hAnsi="宋体" w:eastAsia="宋体" w:cs="宋体"/>
          <w:spacing w:val="-8"/>
        </w:rPr>
        <w:t xml:space="preserve">红 </w:t>
      </w:r>
      <w:r>
        <w:rPr>
          <w:rFonts w:hint="eastAsia" w:ascii="宋体" w:hAnsi="宋体" w:eastAsia="宋体" w:cs="宋体"/>
        </w:rPr>
        <w:t>O</w:t>
      </w:r>
      <w:r>
        <w:rPr>
          <w:rFonts w:hint="eastAsia" w:ascii="宋体" w:hAnsi="宋体" w:eastAsia="宋体" w:cs="宋体"/>
          <w:lang w:val="en-US" w:eastAsia="zh-CN"/>
        </w:rPr>
        <w:t xml:space="preserve"> </w:t>
      </w:r>
      <w:r>
        <w:rPr>
          <w:rFonts w:hint="eastAsia" w:ascii="宋体" w:hAnsi="宋体" w:eastAsia="宋体" w:cs="宋体"/>
        </w:rPr>
        <w:t>法等。苏丹染料脂质染色的机理一般认为纯属物理学的脂溶作用和吸附作用。苏丹类染料由于在脂质中的溶解度大于在有机溶剂的溶解度，所以染色时染料便从染液中转移到被染的脂质中去，使脂质呈现出染液的颜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45" w:leftChars="0" w:firstLine="378" w:firstLineChars="180"/>
        <w:jc w:val="both"/>
        <w:textAlignment w:val="auto"/>
      </w:pPr>
      <w:r>
        <w:rPr>
          <w:rFonts w:hint="eastAsia" w:ascii="宋体" w:hAnsi="宋体" w:eastAsia="宋体" w:cs="宋体"/>
        </w:rPr>
        <w:t>苏丹Ⅲ染色液主要用于显示组织器官的脂肪变性和类脂质的异常沉着，常发生于肝、肾、心等实质脏器的脂肪变性，细胞内出现多数中性脂肪滴；鉴别和诊断脂肪</w:t>
      </w:r>
      <w:r>
        <w:rPr>
          <w:rFonts w:hint="eastAsia" w:ascii="宋体" w:hAnsi="宋体" w:eastAsia="宋体" w:cs="宋体"/>
          <w:spacing w:val="-10"/>
        </w:rPr>
        <w:t xml:space="preserve">组织  </w:t>
      </w:r>
      <w:r>
        <w:rPr>
          <w:rFonts w:hint="eastAsia" w:ascii="宋体" w:hAnsi="宋体" w:eastAsia="宋体" w:cs="宋体"/>
        </w:rPr>
        <w:t>中所发生的肿瘤及其性质。标本不采用含有乙醇的固定液(</w:t>
      </w:r>
      <w:r>
        <w:rPr>
          <w:rFonts w:hint="eastAsia" w:ascii="宋体" w:hAnsi="宋体" w:eastAsia="宋体" w:cs="宋体"/>
          <w:spacing w:val="3"/>
        </w:rPr>
        <w:t xml:space="preserve">如需固定可采用 </w:t>
      </w:r>
      <w:r>
        <w:rPr>
          <w:rFonts w:hint="eastAsia" w:ascii="宋体" w:hAnsi="宋体" w:eastAsia="宋体" w:cs="宋体"/>
        </w:rPr>
        <w:t>10%中性福尔马</w:t>
      </w:r>
      <w:r>
        <w:rPr>
          <w:rFonts w:hint="eastAsia" w:ascii="宋体" w:hAnsi="宋体" w:eastAsia="宋体" w:cs="宋体"/>
          <w:w w:val="105"/>
        </w:rPr>
        <w:t>林)、也不采用石蜡切片，需用冰冻切片或碳蜡切片。</w:t>
      </w:r>
    </w:p>
    <w:p>
      <w:pPr>
        <w:pStyle w:val="3"/>
        <w:rPr>
          <w:sz w:val="20"/>
        </w:rPr>
      </w:pPr>
    </w:p>
    <w:p>
      <w:pPr>
        <w:pStyle w:val="3"/>
        <w:spacing w:before="5"/>
        <w:rPr>
          <w:sz w:val="17"/>
        </w:rPr>
      </w:pPr>
    </w:p>
    <w:tbl>
      <w:tblPr>
        <w:tblStyle w:val="6"/>
        <w:tblW w:w="6773" w:type="dxa"/>
        <w:tblInd w:w="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50"/>
        <w:gridCol w:w="1111"/>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2" w:hRule="atLeast"/>
        </w:trPr>
        <w:tc>
          <w:tcPr>
            <w:tcW w:w="4750" w:type="dxa"/>
          </w:tcPr>
          <w:p>
            <w:pPr>
              <w:pStyle w:val="11"/>
              <w:spacing w:line="328" w:lineRule="exact"/>
              <w:ind w:left="50"/>
              <w:rPr>
                <w:rFonts w:hint="eastAsia" w:ascii="Malgun Gothic" w:eastAsia="Malgun Gothic"/>
                <w:b/>
                <w:sz w:val="24"/>
              </w:rPr>
            </w:pPr>
            <w:r>
              <w:rPr>
                <w:rFonts w:hint="eastAsia" w:ascii="宋体" w:hAnsi="宋体" w:eastAsia="宋体" w:cs="宋体"/>
                <w:b/>
                <w:sz w:val="24"/>
              </w:rPr>
              <w:t>产品组成：</w:t>
            </w:r>
          </w:p>
        </w:tc>
        <w:tc>
          <w:tcPr>
            <w:tcW w:w="1111" w:type="dxa"/>
          </w:tcPr>
          <w:p>
            <w:pPr>
              <w:pStyle w:val="11"/>
              <w:rPr>
                <w:rFonts w:ascii="Times New Roman"/>
                <w:sz w:val="20"/>
              </w:rPr>
            </w:pPr>
          </w:p>
        </w:tc>
        <w:tc>
          <w:tcPr>
            <w:tcW w:w="912" w:type="dxa"/>
            <w:vMerge w:val="restart"/>
          </w:tcPr>
          <w:p>
            <w:pPr>
              <w:pStyle w:val="11"/>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3" w:hRule="atLeast"/>
        </w:trPr>
        <w:tc>
          <w:tcPr>
            <w:tcW w:w="4750" w:type="dxa"/>
          </w:tcPr>
          <w:p>
            <w:pPr>
              <w:pStyle w:val="11"/>
              <w:rPr>
                <w:rFonts w:ascii="Times New Roman"/>
                <w:sz w:val="20"/>
              </w:rPr>
            </w:pPr>
          </w:p>
        </w:tc>
        <w:tc>
          <w:tcPr>
            <w:tcW w:w="1111" w:type="dxa"/>
          </w:tcPr>
          <w:p>
            <w:pPr>
              <w:pStyle w:val="11"/>
              <w:spacing w:before="8"/>
              <w:rPr>
                <w:rFonts w:ascii="MS UI Gothic"/>
                <w:sz w:val="18"/>
              </w:rPr>
            </w:pPr>
          </w:p>
          <w:p>
            <w:pPr>
              <w:pStyle w:val="11"/>
              <w:ind w:left="250" w:right="116"/>
              <w:jc w:val="center"/>
              <w:rPr>
                <w:sz w:val="19"/>
              </w:rPr>
            </w:pPr>
            <w:r>
              <w:rPr>
                <w:sz w:val="19"/>
              </w:rPr>
              <w:t>3×50ml</w:t>
            </w:r>
          </w:p>
        </w:tc>
        <w:tc>
          <w:tcPr>
            <w:tcW w:w="9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750" w:type="dxa"/>
          </w:tcPr>
          <w:p>
            <w:pPr>
              <w:pStyle w:val="11"/>
              <w:spacing w:before="19" w:line="363" w:lineRule="exact"/>
              <w:ind w:left="1642"/>
              <w:rPr>
                <w:rFonts w:hint="eastAsia" w:ascii="MS UI Gothic" w:eastAsia="MS UI Gothic"/>
                <w:sz w:val="21"/>
              </w:rPr>
            </w:pPr>
            <w:r>
              <w:rPr>
                <w:rFonts w:hint="eastAsia" w:ascii="宋体" w:eastAsia="宋体"/>
                <w:sz w:val="21"/>
              </w:rPr>
              <w:t>试剂</w:t>
            </w:r>
            <w:r>
              <w:rPr>
                <w:sz w:val="21"/>
              </w:rPr>
              <w:t>(A)</w:t>
            </w:r>
            <w:r>
              <w:rPr>
                <w:spacing w:val="-1"/>
                <w:sz w:val="21"/>
              </w:rPr>
              <w:t xml:space="preserve">: </w:t>
            </w:r>
            <w:r>
              <w:rPr>
                <w:sz w:val="21"/>
              </w:rPr>
              <w:t>Mayer</w:t>
            </w:r>
            <w:r>
              <w:rPr>
                <w:spacing w:val="60"/>
                <w:sz w:val="21"/>
              </w:rPr>
              <w:t xml:space="preserve"> </w:t>
            </w:r>
            <w:r>
              <w:rPr>
                <w:rFonts w:hint="eastAsia" w:ascii="宋体" w:eastAsia="宋体"/>
                <w:sz w:val="21"/>
              </w:rPr>
              <w:t>苏</w:t>
            </w:r>
            <w:r>
              <w:rPr>
                <w:rFonts w:hint="eastAsia" w:ascii="MS UI Gothic" w:eastAsia="MS UI Gothic"/>
                <w:sz w:val="21"/>
              </w:rPr>
              <w:t>木素染色液</w:t>
            </w:r>
          </w:p>
        </w:tc>
        <w:tc>
          <w:tcPr>
            <w:tcW w:w="1111" w:type="dxa"/>
          </w:tcPr>
          <w:p>
            <w:pPr>
              <w:pStyle w:val="11"/>
              <w:spacing w:before="45" w:line="337" w:lineRule="exact"/>
              <w:ind w:left="250" w:right="98"/>
              <w:jc w:val="center"/>
              <w:rPr>
                <w:sz w:val="19"/>
              </w:rPr>
            </w:pPr>
            <w:r>
              <w:rPr>
                <w:sz w:val="19"/>
              </w:rPr>
              <w:t>50ml</w:t>
            </w:r>
          </w:p>
        </w:tc>
        <w:tc>
          <w:tcPr>
            <w:tcW w:w="912" w:type="dxa"/>
          </w:tcPr>
          <w:p>
            <w:pPr>
              <w:pStyle w:val="11"/>
              <w:spacing w:before="45" w:line="337" w:lineRule="exact"/>
              <w:ind w:left="136"/>
              <w:rPr>
                <w:rFonts w:hint="eastAsia" w:ascii="MS UI Gothic" w:eastAsia="MS UI Gothic"/>
                <w:sz w:val="19"/>
              </w:rPr>
            </w:pPr>
            <w:r>
              <w:rPr>
                <w:sz w:val="19"/>
              </w:rPr>
              <w:t xml:space="preserve">RT </w:t>
            </w:r>
            <w:r>
              <w:rPr>
                <w:rFonts w:hint="eastAsia" w:ascii="MS UI Gothic" w:eastAsia="MS UI Gothic"/>
                <w:sz w:val="19"/>
              </w:rPr>
              <w:t>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2" w:hRule="atLeast"/>
        </w:trPr>
        <w:tc>
          <w:tcPr>
            <w:tcW w:w="4750" w:type="dxa"/>
          </w:tcPr>
          <w:p>
            <w:pPr>
              <w:pStyle w:val="11"/>
              <w:spacing w:line="373" w:lineRule="exact"/>
              <w:ind w:left="1642"/>
              <w:rPr>
                <w:rFonts w:hint="eastAsia" w:ascii="MS UI Gothic" w:hAnsi="MS UI Gothic" w:eastAsia="MS UI Gothic"/>
                <w:sz w:val="21"/>
              </w:rPr>
            </w:pPr>
            <w:r>
              <w:rPr>
                <w:rFonts w:hint="eastAsia" w:ascii="宋体" w:hAnsi="宋体" w:eastAsia="宋体"/>
                <w:sz w:val="21"/>
              </w:rPr>
              <w:t>试剂</w:t>
            </w:r>
            <w:r>
              <w:rPr>
                <w:sz w:val="21"/>
              </w:rPr>
              <w:t xml:space="preserve">(B): </w:t>
            </w:r>
            <w:r>
              <w:rPr>
                <w:rFonts w:hint="eastAsia" w:ascii="宋体" w:hAnsi="宋体" w:eastAsia="宋体"/>
                <w:sz w:val="21"/>
              </w:rPr>
              <w:t>苏</w:t>
            </w:r>
            <w:r>
              <w:rPr>
                <w:rFonts w:hint="eastAsia" w:ascii="MS UI Gothic" w:hAnsi="MS UI Gothic" w:eastAsia="MS UI Gothic"/>
                <w:sz w:val="21"/>
              </w:rPr>
              <w:t>丹</w:t>
            </w:r>
            <w:r>
              <w:rPr>
                <w:sz w:val="21"/>
              </w:rPr>
              <w:t>Ⅲ</w:t>
            </w:r>
            <w:r>
              <w:rPr>
                <w:rFonts w:hint="eastAsia" w:ascii="MS UI Gothic" w:hAnsi="MS UI Gothic" w:eastAsia="MS UI Gothic"/>
                <w:sz w:val="21"/>
              </w:rPr>
              <w:t>分化液</w:t>
            </w:r>
          </w:p>
        </w:tc>
        <w:tc>
          <w:tcPr>
            <w:tcW w:w="1111" w:type="dxa"/>
          </w:tcPr>
          <w:p>
            <w:pPr>
              <w:pStyle w:val="11"/>
              <w:spacing w:before="18"/>
              <w:ind w:left="250" w:right="98"/>
              <w:jc w:val="center"/>
              <w:rPr>
                <w:sz w:val="19"/>
              </w:rPr>
            </w:pPr>
            <w:r>
              <w:rPr>
                <w:sz w:val="19"/>
              </w:rPr>
              <w:t>50ml</w:t>
            </w:r>
          </w:p>
        </w:tc>
        <w:tc>
          <w:tcPr>
            <w:tcW w:w="912" w:type="dxa"/>
          </w:tcPr>
          <w:p>
            <w:pPr>
              <w:pStyle w:val="11"/>
              <w:spacing w:before="18"/>
              <w:ind w:left="136"/>
              <w:rPr>
                <w:sz w:val="19"/>
              </w:rPr>
            </w:pPr>
            <w:r>
              <w:rPr>
                <w:sz w:val="19"/>
              </w:rPr>
              <w:t>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4750" w:type="dxa"/>
          </w:tcPr>
          <w:p>
            <w:pPr>
              <w:pStyle w:val="11"/>
              <w:spacing w:before="9" w:line="333" w:lineRule="exact"/>
              <w:ind w:left="1642"/>
              <w:rPr>
                <w:rFonts w:hint="eastAsia" w:ascii="MS UI Gothic" w:hAnsi="MS UI Gothic" w:eastAsia="MS UI Gothic"/>
                <w:sz w:val="21"/>
              </w:rPr>
            </w:pPr>
            <w:r>
              <w:rPr>
                <w:rFonts w:hint="eastAsia" w:ascii="宋体" w:hAnsi="宋体" w:eastAsia="宋体"/>
                <w:sz w:val="21"/>
              </w:rPr>
              <w:t>试剂</w:t>
            </w:r>
            <w:r>
              <w:rPr>
                <w:sz w:val="21"/>
              </w:rPr>
              <w:t xml:space="preserve">(C): </w:t>
            </w:r>
            <w:r>
              <w:rPr>
                <w:rFonts w:hint="eastAsia" w:ascii="宋体" w:hAnsi="宋体" w:eastAsia="宋体"/>
                <w:sz w:val="21"/>
              </w:rPr>
              <w:t>苏</w:t>
            </w:r>
            <w:r>
              <w:rPr>
                <w:rFonts w:hint="eastAsia" w:ascii="MS UI Gothic" w:hAnsi="MS UI Gothic" w:eastAsia="MS UI Gothic"/>
                <w:sz w:val="21"/>
              </w:rPr>
              <w:t>丹</w:t>
            </w:r>
            <w:r>
              <w:rPr>
                <w:sz w:val="21"/>
              </w:rPr>
              <w:t>Ⅲ</w:t>
            </w:r>
            <w:r>
              <w:rPr>
                <w:rFonts w:hint="eastAsia" w:ascii="MS UI Gothic" w:hAnsi="MS UI Gothic" w:eastAsia="MS UI Gothic"/>
                <w:sz w:val="21"/>
              </w:rPr>
              <w:t>染色液</w:t>
            </w:r>
          </w:p>
        </w:tc>
        <w:tc>
          <w:tcPr>
            <w:tcW w:w="1111" w:type="dxa"/>
          </w:tcPr>
          <w:p>
            <w:pPr>
              <w:pStyle w:val="11"/>
              <w:spacing w:before="31" w:line="310" w:lineRule="exact"/>
              <w:ind w:left="250" w:right="98"/>
              <w:jc w:val="center"/>
              <w:rPr>
                <w:sz w:val="19"/>
              </w:rPr>
            </w:pPr>
            <w:r>
              <w:rPr>
                <w:sz w:val="19"/>
              </w:rPr>
              <w:t>50ml</w:t>
            </w:r>
          </w:p>
        </w:tc>
        <w:tc>
          <w:tcPr>
            <w:tcW w:w="912" w:type="dxa"/>
          </w:tcPr>
          <w:p>
            <w:pPr>
              <w:pStyle w:val="11"/>
              <w:spacing w:before="61" w:line="280" w:lineRule="exact"/>
              <w:ind w:left="136"/>
              <w:rPr>
                <w:rFonts w:hint="eastAsia" w:ascii="MS UI Gothic" w:eastAsia="MS UI Gothic"/>
                <w:sz w:val="19"/>
              </w:rPr>
            </w:pPr>
            <w:r>
              <w:rPr>
                <w:sz w:val="19"/>
              </w:rPr>
              <w:t xml:space="preserve">RT </w:t>
            </w:r>
            <w:r>
              <w:rPr>
                <w:rFonts w:hint="eastAsia" w:ascii="MS UI Gothic" w:eastAsia="MS UI Gothic"/>
                <w:sz w:val="19"/>
              </w:rPr>
              <w:t>避 光</w:t>
            </w:r>
          </w:p>
        </w:tc>
      </w:tr>
    </w:tbl>
    <w:p>
      <w:pPr>
        <w:pStyle w:val="3"/>
        <w:rPr>
          <w:sz w:val="20"/>
        </w:rPr>
      </w:pPr>
    </w:p>
    <w:p>
      <w:pPr>
        <w:pStyle w:val="3"/>
        <w:spacing w:before="9"/>
        <w:rPr>
          <w:sz w:val="23"/>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spacing w:val="-1"/>
          <w:w w:val="105"/>
        </w:rPr>
        <w:t>1、70%</w:t>
      </w:r>
      <w:r>
        <w:rPr>
          <w:rFonts w:hint="eastAsia" w:ascii="宋体" w:hAnsi="宋体" w:eastAsia="宋体" w:cs="宋体"/>
          <w:w w:val="105"/>
        </w:rPr>
        <w:t>乙醇</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405"/>
        <w:textAlignment w:val="auto"/>
        <w:rPr>
          <w:rFonts w:hint="eastAsia" w:ascii="宋体" w:hAnsi="宋体" w:eastAsia="宋体" w:cs="宋体"/>
        </w:rPr>
      </w:pPr>
      <w:r>
        <w:rPr>
          <w:rFonts w:hint="eastAsia" w:ascii="宋体" w:hAnsi="宋体" w:eastAsia="宋体" w:cs="宋体"/>
          <w:spacing w:val="-1"/>
          <w:w w:val="105"/>
        </w:rPr>
        <w:t>2</w:t>
      </w:r>
      <w:r>
        <w:rPr>
          <w:rFonts w:hint="eastAsia" w:ascii="宋体" w:hAnsi="宋体" w:eastAsia="宋体" w:cs="宋体"/>
          <w:w w:val="105"/>
        </w:rPr>
        <w:t>、蒸馏水</w:t>
      </w:r>
    </w:p>
    <w:p>
      <w:pPr>
        <w:pStyle w:val="3"/>
        <w:keepNext w:val="0"/>
        <w:keepLines w:val="0"/>
        <w:pageBreakBefore w:val="0"/>
        <w:widowControl w:val="0"/>
        <w:kinsoku/>
        <w:wordWrap/>
        <w:overflowPunct/>
        <w:topLinePunct w:val="0"/>
        <w:autoSpaceDE w:val="0"/>
        <w:autoSpaceDN w:val="0"/>
        <w:bidi w:val="0"/>
        <w:adjustRightInd/>
        <w:snapToGrid/>
        <w:spacing w:before="21" w:line="350" w:lineRule="exact"/>
        <w:ind w:left="405"/>
        <w:textAlignment w:val="auto"/>
        <w:rPr>
          <w:rFonts w:hint="eastAsia" w:ascii="宋体" w:hAnsi="宋体" w:eastAsia="宋体" w:cs="宋体"/>
        </w:rPr>
      </w:pPr>
      <w:r>
        <w:rPr>
          <w:rFonts w:hint="eastAsia" w:ascii="宋体" w:hAnsi="宋体" w:eastAsia="宋体" w:cs="宋体"/>
          <w:spacing w:val="-1"/>
          <w:w w:val="105"/>
        </w:rPr>
        <w:t>3</w:t>
      </w:r>
      <w:r>
        <w:rPr>
          <w:rFonts w:hint="eastAsia" w:ascii="宋体" w:hAnsi="宋体" w:eastAsia="宋体" w:cs="宋体"/>
          <w:w w:val="105"/>
        </w:rPr>
        <w:t>、显微镜</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405"/>
        <w:textAlignment w:val="auto"/>
        <w:rPr>
          <w:rFonts w:hint="eastAsia" w:ascii="宋体" w:hAnsi="宋体" w:eastAsia="宋体" w:cs="宋体"/>
        </w:rPr>
      </w:pPr>
      <w:r>
        <w:rPr>
          <w:rFonts w:hint="eastAsia" w:ascii="宋体" w:hAnsi="宋体" w:eastAsia="宋体" w:cs="宋体"/>
          <w:w w:val="105"/>
        </w:rPr>
        <w:t>4、甘油明胶封固液</w:t>
      </w:r>
    </w:p>
    <w:p>
      <w:pPr>
        <w:pStyle w:val="3"/>
        <w:keepNext w:val="0"/>
        <w:keepLines w:val="0"/>
        <w:pageBreakBefore w:val="0"/>
        <w:widowControl w:val="0"/>
        <w:kinsoku/>
        <w:wordWrap/>
        <w:overflowPunct/>
        <w:topLinePunct w:val="0"/>
        <w:autoSpaceDE w:val="0"/>
        <w:autoSpaceDN w:val="0"/>
        <w:bidi w:val="0"/>
        <w:adjustRightInd/>
        <w:snapToGrid/>
        <w:spacing w:before="10" w:line="350" w:lineRule="exact"/>
        <w:textAlignment w:val="auto"/>
        <w:rPr>
          <w:rFonts w:hint="eastAsia" w:ascii="宋体" w:hAnsi="宋体" w:eastAsia="宋体" w:cs="宋体"/>
          <w:sz w:val="22"/>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20"/>
        </w:rPr>
        <w:t xml:space="preserve">、 </w:t>
      </w:r>
      <w:r>
        <w:rPr>
          <w:rFonts w:hint="eastAsia" w:ascii="宋体" w:hAnsi="宋体" w:eastAsia="宋体" w:cs="宋体"/>
          <w:w w:val="105"/>
        </w:rPr>
        <w:t>新鲜组织低温切片，一般-20℃～-25℃。如样本为脂肪瘤，应调节至-30℃</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20"/>
        </w:rPr>
        <w:t xml:space="preserve">、 </w:t>
      </w:r>
      <w:r>
        <w:rPr>
          <w:rFonts w:hint="eastAsia" w:ascii="宋体" w:hAnsi="宋体" w:eastAsia="宋体" w:cs="宋体"/>
          <w:w w:val="105"/>
        </w:rPr>
        <w:t>冰冻切片 6～15μm(6～8μm 为佳)，贴于载玻片上。</w:t>
      </w:r>
    </w:p>
    <w:p>
      <w:pPr>
        <w:pStyle w:val="3"/>
        <w:rPr>
          <w:sz w:val="20"/>
        </w:rPr>
      </w:pPr>
    </w:p>
    <w:p>
      <w:pPr>
        <w:pStyle w:val="3"/>
        <w:spacing w:before="11"/>
        <w:rPr>
          <w:sz w:val="25"/>
        </w:rPr>
      </w:pPr>
    </w:p>
    <w:p>
      <w:pPr>
        <w:tabs>
          <w:tab w:val="left" w:pos="4552"/>
        </w:tabs>
        <w:spacing w:before="101"/>
        <w:ind w:left="0" w:right="382" w:firstLine="0"/>
        <w:jc w:val="center"/>
        <w:rPr>
          <w:rFonts w:ascii="Cambria"/>
          <w:b/>
          <w:sz w:val="18"/>
        </w:rPr>
      </w:pPr>
    </w:p>
    <w:p>
      <w:pPr>
        <w:spacing w:after="0"/>
        <w:jc w:val="center"/>
        <w:rPr>
          <w:rFonts w:ascii="Cambria"/>
          <w:sz w:val="18"/>
        </w:rPr>
        <w:sectPr>
          <w:type w:val="continuous"/>
          <w:pgSz w:w="11900" w:h="16840"/>
          <w:pgMar w:top="660" w:right="130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44" w:line="350" w:lineRule="exact"/>
        <w:ind w:left="615"/>
        <w:textAlignment w:val="auto"/>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 xml:space="preserve">、 </w:t>
      </w:r>
      <w:r>
        <w:rPr>
          <w:rFonts w:hint="eastAsia" w:ascii="宋体" w:hAnsi="宋体" w:eastAsia="宋体" w:cs="宋体"/>
          <w:w w:val="110"/>
        </w:rPr>
        <w:t>蒸馏水稍洗。</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10"/>
        </w:rPr>
        <w:t>4</w:t>
      </w:r>
      <w:r>
        <w:rPr>
          <w:rFonts w:hint="eastAsia" w:ascii="宋体" w:hAnsi="宋体" w:eastAsia="宋体" w:cs="宋体"/>
          <w:w w:val="120"/>
        </w:rPr>
        <w:t xml:space="preserve">、 </w:t>
      </w:r>
      <w:r>
        <w:rPr>
          <w:rFonts w:hint="eastAsia" w:ascii="宋体" w:hAnsi="宋体" w:eastAsia="宋体" w:cs="宋体"/>
          <w:w w:val="110"/>
        </w:rPr>
        <w:t>入 Mayer 苏木素染色液，复染核 1min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10"/>
        </w:rPr>
        <w:t>5</w:t>
      </w:r>
      <w:r>
        <w:rPr>
          <w:rFonts w:hint="eastAsia" w:ascii="宋体" w:hAnsi="宋体" w:eastAsia="宋体" w:cs="宋体"/>
          <w:w w:val="130"/>
        </w:rPr>
        <w:t xml:space="preserve">、 </w:t>
      </w:r>
      <w:r>
        <w:rPr>
          <w:rFonts w:hint="eastAsia" w:ascii="宋体" w:hAnsi="宋体" w:eastAsia="宋体" w:cs="宋体"/>
          <w:w w:val="110"/>
        </w:rPr>
        <w:t>自来水洗后，苏丹Ⅲ分化液分化数秒，流水洗至核为蓝色。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6</w:t>
      </w:r>
      <w:r>
        <w:rPr>
          <w:rFonts w:hint="eastAsia" w:ascii="宋体" w:hAnsi="宋体" w:eastAsia="宋体" w:cs="宋体"/>
          <w:w w:val="130"/>
        </w:rPr>
        <w:t xml:space="preserve">、 </w:t>
      </w:r>
      <w:r>
        <w:rPr>
          <w:rFonts w:hint="eastAsia" w:ascii="宋体" w:hAnsi="宋体" w:eastAsia="宋体" w:cs="宋体"/>
          <w:w w:val="105"/>
        </w:rPr>
        <w:t>蒸馏水冲洗后，入 70%乙醇稍微浸洗一下。</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7</w:t>
      </w:r>
      <w:r>
        <w:rPr>
          <w:rFonts w:hint="eastAsia" w:ascii="宋体" w:hAnsi="宋体" w:eastAsia="宋体" w:cs="宋体"/>
          <w:w w:val="120"/>
        </w:rPr>
        <w:t xml:space="preserve">、 </w:t>
      </w:r>
      <w:r>
        <w:rPr>
          <w:rFonts w:hint="eastAsia" w:ascii="宋体" w:hAnsi="宋体" w:eastAsia="宋体" w:cs="宋体"/>
          <w:w w:val="105"/>
        </w:rPr>
        <w:t>入苏丹Ⅲ染色液，浸染 30min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10"/>
        </w:rPr>
        <w:t>8</w:t>
      </w:r>
      <w:r>
        <w:rPr>
          <w:rFonts w:hint="eastAsia" w:ascii="宋体" w:hAnsi="宋体" w:eastAsia="宋体" w:cs="宋体"/>
          <w:w w:val="130"/>
        </w:rPr>
        <w:t xml:space="preserve">、 </w:t>
      </w:r>
      <w:r>
        <w:rPr>
          <w:rFonts w:hint="eastAsia" w:ascii="宋体" w:hAnsi="宋体" w:eastAsia="宋体" w:cs="宋体"/>
          <w:w w:val="110"/>
        </w:rPr>
        <w:t>70%乙醇分化数秒，自来水洗。</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9</w:t>
      </w:r>
      <w:r>
        <w:rPr>
          <w:rFonts w:hint="eastAsia" w:ascii="宋体" w:hAnsi="宋体" w:eastAsia="宋体" w:cs="宋体"/>
          <w:w w:val="130"/>
        </w:rPr>
        <w:t xml:space="preserve">、 </w:t>
      </w:r>
      <w:r>
        <w:rPr>
          <w:rFonts w:hint="eastAsia" w:ascii="宋体" w:hAnsi="宋体" w:eastAsia="宋体" w:cs="宋体"/>
          <w:w w:val="105"/>
        </w:rPr>
        <w:t>用滤纸将切片及周围的水分吸去，让其稍微干燥。</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10"/>
        </w:rPr>
        <w:t>10</w:t>
      </w:r>
      <w:r>
        <w:rPr>
          <w:rFonts w:hint="eastAsia" w:ascii="宋体" w:hAnsi="宋体" w:eastAsia="宋体" w:cs="宋体"/>
          <w:w w:val="130"/>
        </w:rPr>
        <w:t xml:space="preserve">、 </w:t>
      </w:r>
      <w:r>
        <w:rPr>
          <w:rFonts w:hint="eastAsia" w:ascii="宋体" w:hAnsi="宋体" w:eastAsia="宋体" w:cs="宋体"/>
          <w:w w:val="110"/>
        </w:rPr>
        <w:t>甘油明胶封固。</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5"/>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sz w:val="25"/>
        </w:rPr>
        <w:sectPr>
          <w:pgSz w:w="11900" w:h="16840"/>
          <w:pgMar w:top="1600" w:right="1300" w:bottom="280" w:left="1680" w:header="720" w:footer="720" w:gutter="0"/>
        </w:sect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染色结果：</w:t>
      </w:r>
    </w:p>
    <w:p>
      <w:pPr>
        <w:pStyle w:val="3"/>
        <w:spacing w:before="1"/>
        <w:rPr>
          <w:rFonts w:ascii="Malgun Gothic"/>
          <w:b/>
          <w:sz w:val="26"/>
        </w:rPr>
      </w:pPr>
      <w:r>
        <w:br w:type="column"/>
      </w:r>
    </w:p>
    <w:p>
      <w:pPr>
        <w:pStyle w:val="3"/>
        <w:ind w:left="-8"/>
      </w:pPr>
      <w:r>
        <w:t>中性脂肪</w:t>
      </w:r>
    </w:p>
    <w:p>
      <w:pPr>
        <w:pStyle w:val="3"/>
        <w:spacing w:before="87"/>
        <w:ind w:left="-8"/>
      </w:pPr>
      <w:r>
        <w:rPr>
          <w:rFonts w:hint="eastAsia" w:ascii="宋体" w:eastAsia="宋体"/>
        </w:rPr>
        <w:t>细</w:t>
      </w:r>
      <w:r>
        <w:t>胞核</w:t>
      </w:r>
    </w:p>
    <w:p>
      <w:pPr>
        <w:pStyle w:val="3"/>
        <w:rPr>
          <w:sz w:val="22"/>
        </w:rPr>
      </w:pPr>
      <w:r>
        <w:br w:type="column"/>
      </w:r>
    </w:p>
    <w:p>
      <w:pPr>
        <w:pStyle w:val="3"/>
        <w:spacing w:before="191" w:line="316" w:lineRule="auto"/>
        <w:ind w:left="405" w:right="3949"/>
      </w:pPr>
      <w:r>
        <w:t>橘</w:t>
      </w:r>
      <w:r>
        <w:rPr>
          <w:rFonts w:hint="eastAsia" w:ascii="宋体" w:eastAsia="宋体"/>
        </w:rPr>
        <w:t>红</w:t>
      </w:r>
      <w:r>
        <w:t>色淡</w:t>
      </w:r>
      <w:r>
        <w:rPr>
          <w:rFonts w:hint="eastAsia" w:ascii="宋体" w:eastAsia="宋体"/>
        </w:rPr>
        <w:t>蓝</w:t>
      </w:r>
      <w:r>
        <w:t>色</w:t>
      </w:r>
    </w:p>
    <w:p>
      <w:pPr>
        <w:spacing w:after="0" w:line="316" w:lineRule="auto"/>
        <w:sectPr>
          <w:type w:val="continuous"/>
          <w:pgSz w:w="11900" w:h="16840"/>
          <w:pgMar w:top="660" w:right="1300" w:bottom="280" w:left="1680" w:header="720" w:footer="720" w:gutter="0"/>
          <w:cols w:equalWidth="0" w:num="3">
            <w:col w:w="1606" w:space="40"/>
            <w:col w:w="873" w:space="1416"/>
            <w:col w:w="4985"/>
          </w:cols>
        </w:sectPr>
      </w:pPr>
    </w:p>
    <w:p>
      <w:pPr>
        <w:pStyle w:val="3"/>
        <w:spacing w:before="7"/>
        <w:rPr>
          <w:sz w:val="22"/>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845" w:leftChars="184" w:hanging="440" w:hangingChars="200"/>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15"/>
        </w:rPr>
        <w:t>、</w:t>
      </w:r>
      <w:r>
        <w:rPr>
          <w:rFonts w:hint="eastAsia" w:ascii="宋体" w:hAnsi="宋体" w:eastAsia="宋体" w:cs="宋体"/>
          <w:w w:val="105"/>
        </w:rPr>
        <w:t>标本不宜采用含有乙醇的固定液、也不宜用石蜡切片，需用冰冻切片。如需固定应采用</w:t>
      </w:r>
      <w:r>
        <w:rPr>
          <w:rFonts w:hint="eastAsia" w:ascii="宋体" w:hAnsi="宋体" w:eastAsia="宋体" w:cs="宋体"/>
        </w:rPr>
        <w:t>10%中性福尔马林固定液或 10%甲醛-钙液。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5" w:right="199" w:hanging="360"/>
        <w:textAlignment w:val="auto"/>
        <w:rPr>
          <w:rFonts w:hint="eastAsia" w:ascii="宋体" w:hAnsi="宋体" w:eastAsia="宋体" w:cs="宋体"/>
        </w:rPr>
      </w:pPr>
      <w:r>
        <w:rPr>
          <w:rFonts w:hint="eastAsia" w:ascii="宋体" w:hAnsi="宋体" w:eastAsia="宋体" w:cs="宋体"/>
        </w:rPr>
        <w:t>2、在染色过程中必须防止染料发生沉淀。故切片入染液时应密封，勿不流动</w:t>
      </w:r>
      <w:r>
        <w:rPr>
          <w:rFonts w:hint="eastAsia" w:ascii="宋体" w:hAnsi="宋体" w:eastAsia="宋体" w:cs="宋体"/>
          <w:spacing w:val="-3"/>
        </w:rPr>
        <w:t xml:space="preserve">空气相接触，  </w:t>
      </w:r>
      <w:r>
        <w:rPr>
          <w:rFonts w:hint="eastAsia" w:ascii="宋体" w:hAnsi="宋体" w:eastAsia="宋体" w:cs="宋体"/>
          <w:w w:val="105"/>
        </w:rPr>
        <w:t>避免溶液挥发时发生沉淀。</w:t>
      </w:r>
    </w:p>
    <w:p>
      <w:pPr>
        <w:pStyle w:val="3"/>
        <w:keepNext w:val="0"/>
        <w:keepLines w:val="0"/>
        <w:pageBreakBefore w:val="0"/>
        <w:widowControl w:val="0"/>
        <w:kinsoku/>
        <w:wordWrap/>
        <w:overflowPunct/>
        <w:topLinePunct w:val="0"/>
        <w:autoSpaceDE w:val="0"/>
        <w:autoSpaceDN w:val="0"/>
        <w:bidi w:val="0"/>
        <w:adjustRightInd/>
        <w:snapToGrid/>
        <w:spacing w:before="19" w:line="350" w:lineRule="exact"/>
        <w:ind w:left="405"/>
        <w:textAlignment w:val="auto"/>
        <w:rPr>
          <w:rFonts w:hint="eastAsia" w:ascii="宋体" w:hAnsi="宋体" w:eastAsia="宋体" w:cs="宋体"/>
        </w:rPr>
      </w:pPr>
      <w:r>
        <w:rPr>
          <w:rFonts w:hint="eastAsia" w:ascii="宋体" w:hAnsi="宋体" w:eastAsia="宋体" w:cs="宋体"/>
          <w:w w:val="105"/>
        </w:rPr>
        <w:t>3、冰冻切片较易着色，Mayer</w:t>
      </w:r>
      <w:r>
        <w:rPr>
          <w:rFonts w:hint="eastAsia" w:ascii="宋体" w:hAnsi="宋体" w:eastAsia="宋体" w:cs="宋体"/>
          <w:spacing w:val="57"/>
          <w:w w:val="105"/>
        </w:rPr>
        <w:t xml:space="preserve"> </w:t>
      </w:r>
      <w:r>
        <w:rPr>
          <w:rFonts w:hint="eastAsia" w:ascii="宋体" w:hAnsi="宋体" w:eastAsia="宋体" w:cs="宋体"/>
          <w:w w:val="105"/>
        </w:rPr>
        <w:t>苏木素复染时应避免过染。</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30"/>
        </w:rPr>
        <w:t>、</w:t>
      </w:r>
      <w:r>
        <w:rPr>
          <w:rFonts w:hint="eastAsia" w:ascii="宋体" w:hAnsi="宋体" w:eastAsia="宋体" w:cs="宋体"/>
          <w:w w:val="105"/>
        </w:rPr>
        <w:t>苏丹染料容易褪色，应密闭保存。</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5" w:right="199" w:hanging="360"/>
        <w:textAlignment w:val="auto"/>
        <w:rPr>
          <w:rFonts w:hint="eastAsia" w:ascii="宋体" w:hAnsi="宋体" w:eastAsia="宋体" w:cs="宋体"/>
        </w:rPr>
      </w:pPr>
      <w:r>
        <w:rPr>
          <w:rFonts w:hint="eastAsia" w:ascii="宋体" w:hAnsi="宋体" w:eastAsia="宋体" w:cs="宋体"/>
        </w:rPr>
        <w:t>5、甘油明胶封固的样本，保存时间不长。如需长期保存，可以在盖玻片不载玻片交界的</w:t>
      </w:r>
      <w:r>
        <w:rPr>
          <w:rFonts w:hint="eastAsia" w:ascii="宋体" w:hAnsi="宋体" w:eastAsia="宋体" w:cs="宋体"/>
          <w:spacing w:val="-17"/>
        </w:rPr>
        <w:t xml:space="preserve">边  </w:t>
      </w:r>
      <w:r>
        <w:rPr>
          <w:rFonts w:hint="eastAsia" w:ascii="宋体" w:hAnsi="宋体" w:eastAsia="宋体" w:cs="宋体"/>
          <w:w w:val="105"/>
        </w:rPr>
        <w:t>缘用中性树胶封闭</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36" w:line="350" w:lineRule="exact"/>
        <w:ind w:left="405"/>
        <w:textAlignment w:val="auto"/>
        <w:rPr>
          <w:rFonts w:hint="eastAsia" w:ascii="宋体" w:hAnsi="宋体" w:eastAsia="宋体" w:cs="宋体"/>
        </w:rPr>
      </w:pPr>
      <w:r>
        <w:rPr>
          <w:rFonts w:hint="eastAsia" w:ascii="宋体" w:hAnsi="宋体" w:eastAsia="宋体" w:cs="宋体"/>
          <w:w w:val="105"/>
        </w:rPr>
        <w:t>6</w:t>
      </w:r>
      <w:r>
        <w:rPr>
          <w:rFonts w:hint="eastAsia" w:ascii="宋体" w:hAnsi="宋体" w:eastAsia="宋体" w:cs="宋体"/>
          <w:w w:val="130"/>
        </w:rPr>
        <w:t>、</w:t>
      </w:r>
      <w:r>
        <w:rPr>
          <w:rFonts w:hint="eastAsia" w:ascii="宋体" w:hAnsi="宋体" w:eastAsia="宋体" w:cs="宋体"/>
          <w:w w:val="105"/>
        </w:rPr>
        <w:t>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5"/>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pacing w:val="13"/>
          <w:w w:val="105"/>
          <w:sz w:val="24"/>
        </w:rPr>
        <w:t xml:space="preserve">有效期 </w:t>
      </w:r>
      <w:r>
        <w:rPr>
          <w:rFonts w:hint="eastAsia" w:ascii="宋体" w:hAnsi="宋体" w:eastAsia="宋体" w:cs="宋体"/>
          <w:b/>
          <w:spacing w:val="-2"/>
          <w:w w:val="105"/>
          <w:sz w:val="24"/>
        </w:rPr>
        <w:t xml:space="preserve">: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type w:val="continuous"/>
      <w:pgSz w:w="11900" w:h="16840"/>
      <w:pgMar w:top="660" w:right="13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71312" o:spid="_x0000_s2050" o:spt="136" type="#_x0000_t136" style="position:absolute;left:0pt;height:70.4pt;width:560.2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3850005</wp:posOffset>
              </wp:positionH>
              <wp:positionV relativeFrom="paragraph">
                <wp:posOffset>-8890</wp:posOffset>
              </wp:positionV>
              <wp:extent cx="1783715" cy="865505"/>
              <wp:effectExtent l="0" t="0" r="6985" b="10795"/>
              <wp:wrapNone/>
              <wp:docPr id="2" name="文本框 1"/>
              <wp:cNvGraphicFramePr/>
              <a:graphic xmlns:a="http://schemas.openxmlformats.org/drawingml/2006/main">
                <a:graphicData uri="http://schemas.microsoft.com/office/word/2010/wordprocessingShape">
                  <wps:wsp>
                    <wps:cNvSpPr txBox="1"/>
                    <wps:spPr>
                      <a:xfrm>
                        <a:off x="4916805" y="461010"/>
                        <a:ext cx="1783715" cy="86550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3.15pt;margin-top:-0.7pt;height:68.15pt;width:140.45pt;z-index:251658240;mso-width-relative:page;mso-height-relative:page;" fillcolor="#FFFFFF" filled="t" stroked="f" coordsize="21600,21600" o:gfxdata="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Rs/5zYAAAACgEAAA8AAAAAAAAAAQAgAAAAIgAAAGRycy9kb3du&#10;cmV2LnhtbFBLAQIUABQAAAAIAIdO4kAtoNvpxgEAAFQDAAAOAAAAAAAAAAEAIAAAACcBAABkcnMv&#10;ZTJvRG9jLnhtbFBLBQYAAAAABgAGAFkBAABfBQ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77B88"/>
    <w:rsid w:val="44080FBC"/>
    <w:rsid w:val="61F53B9E"/>
    <w:rsid w:val="62320460"/>
    <w:rsid w:val="62EC6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5"/>
      <w:outlineLvl w:val="1"/>
    </w:pPr>
    <w:rPr>
      <w:rFonts w:ascii="Malgun Gothic" w:hAnsi="Malgun Gothic" w:eastAsia="Malgun Gothic" w:cs="Malgun Gothic"/>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2019-04-02T03:16:00Z</dcterms:created>
  <dc:creator>94099</dc:creator>
  <cp:lastModifiedBy>Cute  princess</cp:lastModifiedBy>
  <dcterms:modified xsi:type="dcterms:W3CDTF">2019-04-02T03:23:58Z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2019-04-02T00:00:00Z</vt:filetime>
  </property>
  <property fmtid="{D5CDD505-2E9C-101B-9397-08002B2CF9AE}" pid="5" name="KSOProductBuildVer">
    <vt:lpwstr>2052-11.1.0.8527</vt:lpwstr>
  </property>
</Properties>
</file>