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-6075045</wp:posOffset>
                </wp:positionH>
                <wp:positionV relativeFrom="paragraph">
                  <wp:posOffset>-1519555</wp:posOffset>
                </wp:positionV>
                <wp:extent cx="914400" cy="91440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-5008245" y="-179705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8.35pt;margin-top:-119.65pt;height:72pt;width:72pt;z-index:251659264;mso-width-relative:page;mso-height-relative:page;" fillcolor="#FFFFFF [3201]" filled="t" stroked="t" coordsize="21600,21600" o:gfxdata="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fHPMdkAAAAOAQAADwAAAAAAAAABACAA&#10;AAAiAAAAZHJzL2Rvd25yZXYueG1sUEsBAhQAFAAAAAgAh07iQPnkQmJFAgAAdQQAAA4AAAAAAAAA&#10;AQAgAAAAK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5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Juhnn7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hint="eastAsia" w:ascii="微软雅黑" w:hAnsi="微软雅黑" w:eastAsia="微软雅黑"/>
          <w:sz w:val="22"/>
          <w:szCs w:val="21"/>
        </w:rPr>
      </w:pPr>
    </w:p>
    <w:p>
      <w:pPr>
        <w:spacing w:line="400" w:lineRule="exact"/>
        <w:ind w:firstLine="3152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0"/>
          <w:szCs w:val="30"/>
        </w:rPr>
        <w:t>AAF固定液</w:t>
      </w: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产品简介：</w:t>
      </w:r>
    </w:p>
    <w:p>
      <w:pPr>
        <w:spacing w:line="400" w:lineRule="exact"/>
        <w:ind w:firstLine="465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固定的目的在于保存细胞和组织的原有形态结构，固定剂能阻止内源性溶酶体酶对自身组织和细胞的自溶、抑制细菌和霉菌的生长。固定剂通过凝固、生成添加化合物等使蛋白质内部结构发生改变，从而使酶失活。固定剂对细胞核细胞外成分发生物理改变。固定液主要分为醛类固定液、汞类固定液、醇类固定液、氧化剂类固定液、苦味酸盐类固定液等，较为常用的是醛类中的福尔马林、醇类中的乙醇。</w:t>
      </w:r>
    </w:p>
    <w:p>
      <w:pPr>
        <w:spacing w:line="400" w:lineRule="exact"/>
        <w:ind w:firstLine="44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>AAF固定液又称</w:t>
      </w:r>
      <w:r>
        <w:rPr>
          <w:rFonts w:hint="eastAsia" w:ascii="微软雅黑" w:hAnsi="微软雅黑" w:eastAsia="微软雅黑"/>
          <w:szCs w:val="21"/>
        </w:rPr>
        <w:t>酒精醋酸福尔马林混合固定液或FAA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szCs w:val="21"/>
          <w:lang w:val="en-US" w:eastAsia="zh-CN"/>
        </w:rPr>
        <w:t>AFA</w:t>
      </w:r>
      <w:r>
        <w:rPr>
          <w:rFonts w:hint="eastAsia" w:ascii="微软雅黑" w:hAnsi="微软雅黑" w:eastAsia="微软雅黑"/>
          <w:szCs w:val="21"/>
        </w:rPr>
        <w:t>固定液，主要由乙醇(A)、乙酸(A)、甲醛(F)组成，兼有脱水作用。</w:t>
      </w:r>
      <w:r>
        <w:rPr>
          <w:rFonts w:hint="eastAsia" w:ascii="微软雅黑" w:hAnsi="微软雅黑" w:eastAsia="微软雅黑"/>
          <w:sz w:val="20"/>
          <w:szCs w:val="20"/>
        </w:rPr>
        <w:t>AAF固定液</w:t>
      </w:r>
      <w:r>
        <w:rPr>
          <w:rFonts w:hint="eastAsia" w:ascii="微软雅黑" w:hAnsi="微软雅黑" w:eastAsia="微软雅黑"/>
          <w:szCs w:val="21"/>
        </w:rPr>
        <w:t>常用于快速脱水和固定以及冷冻切片的快速固定。</w:t>
      </w:r>
    </w:p>
    <w:p>
      <w:pPr>
        <w:spacing w:line="400" w:lineRule="exact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产品组成：</w:t>
      </w:r>
    </w:p>
    <w:tbl>
      <w:tblPr>
        <w:tblStyle w:val="12"/>
        <w:tblpPr w:leftFromText="180" w:rightFromText="180" w:vertAnchor="text" w:horzAnchor="margin" w:tblpXSpec="center" w:tblpY="37"/>
        <w:tblW w:w="69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1230"/>
        <w:gridCol w:w="1119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300"/>
              <w:jc w:val="left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 xml:space="preserve">                        编号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RC20462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RC20462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Storage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AAF </w:t>
            </w:r>
            <w:r>
              <w:rPr>
                <w:rFonts w:hint="eastAsia" w:ascii="微软雅黑" w:hAnsi="微软雅黑" w:eastAsia="微软雅黑"/>
                <w:szCs w:val="21"/>
              </w:rPr>
              <w:t>Fluid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500ml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5L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RT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使用说明书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1份</w:t>
            </w:r>
          </w:p>
        </w:tc>
      </w:tr>
    </w:tbl>
    <w:p>
      <w:pPr>
        <w:spacing w:line="400" w:lineRule="exact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操作步骤</w:t>
      </w:r>
      <w:r>
        <w:rPr>
          <w:rFonts w:hint="eastAsia" w:ascii="微软雅黑" w:hAnsi="微软雅黑" w:eastAsia="微软雅黑"/>
          <w:szCs w:val="21"/>
        </w:rPr>
        <w:t>(仅供参考)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</w:p>
    <w:p>
      <w:pPr>
        <w:numPr>
          <w:ilvl w:val="0"/>
          <w:numId w:val="1"/>
        </w:numPr>
        <w:spacing w:line="400" w:lineRule="exac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取新鲜组织入AAF固定液，置于冰箱内低温固定10～30min。</w:t>
      </w:r>
    </w:p>
    <w:p>
      <w:pPr>
        <w:numPr>
          <w:ilvl w:val="0"/>
          <w:numId w:val="1"/>
        </w:numPr>
        <w:spacing w:line="400" w:lineRule="exac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常规石蜡切片因固定不佳导致染色效果不满意时，可在染色前再用AAF固定液固定5min，染色效果会有明显提高。</w:t>
      </w:r>
    </w:p>
    <w:p>
      <w:pPr>
        <w:spacing w:line="400" w:lineRule="exact"/>
        <w:ind w:left="360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注意事项：</w:t>
      </w:r>
    </w:p>
    <w:p>
      <w:pPr>
        <w:numPr>
          <w:ilvl w:val="0"/>
          <w:numId w:val="2"/>
        </w:numPr>
        <w:spacing w:line="400" w:lineRule="exact"/>
        <w:ind w:left="0" w:firstLine="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AAF固定液</w:t>
      </w:r>
      <w:r>
        <w:rPr>
          <w:rFonts w:hint="eastAsia" w:ascii="微软雅黑" w:hAnsi="微软雅黑" w:eastAsia="微软雅黑"/>
          <w:sz w:val="20"/>
          <w:szCs w:val="20"/>
        </w:rPr>
        <w:t>对人体有一定的损害，请在通风好的环境下小心操作， 避免吸入。</w:t>
      </w:r>
    </w:p>
    <w:p>
      <w:pPr>
        <w:numPr>
          <w:ilvl w:val="0"/>
          <w:numId w:val="2"/>
        </w:numPr>
        <w:spacing w:line="400" w:lineRule="exact"/>
        <w:ind w:left="0" w:firstLine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 w:val="20"/>
          <w:szCs w:val="20"/>
        </w:rPr>
        <w:t>固定液pH最好接近用中性，pH范围6～8。</w:t>
      </w:r>
    </w:p>
    <w:p>
      <w:pPr>
        <w:numPr>
          <w:ilvl w:val="0"/>
          <w:numId w:val="2"/>
        </w:numPr>
        <w:spacing w:line="400" w:lineRule="exact"/>
        <w:ind w:left="0" w:firstLine="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 w:val="20"/>
          <w:szCs w:val="20"/>
        </w:rPr>
        <w:t>组织取材的厚度不同，固定时间也不同，对组织恰当的选材有利于固定液的渗透。常规活检组织比较适合的厚度为2～4mm，一般不超过6mm。</w:t>
      </w:r>
    </w:p>
    <w:p>
      <w:pPr>
        <w:numPr>
          <w:ilvl w:val="0"/>
          <w:numId w:val="2"/>
        </w:numPr>
        <w:spacing w:line="400" w:lineRule="exact"/>
        <w:ind w:left="0" w:firstLine="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 w:val="20"/>
          <w:szCs w:val="20"/>
        </w:rPr>
        <w:t>固定液的容量应足够，一般固定液与组织块的体积比率应大于10:1。如果容积不够大，可以在固定期间更换1～3次固定液。</w:t>
      </w:r>
    </w:p>
    <w:p>
      <w:pPr>
        <w:numPr>
          <w:ilvl w:val="0"/>
          <w:numId w:val="2"/>
        </w:numPr>
        <w:spacing w:line="400" w:lineRule="exact"/>
        <w:ind w:left="0" w:firstLine="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 w:val="20"/>
          <w:szCs w:val="20"/>
        </w:rPr>
        <w:t>温度对固定的影响很明显，提高温度可以加速固定作用，但温度不宜过高。</w:t>
      </w:r>
    </w:p>
    <w:p>
      <w:pPr>
        <w:numPr>
          <w:ilvl w:val="0"/>
          <w:numId w:val="2"/>
        </w:numPr>
        <w:spacing w:line="400" w:lineRule="exact"/>
        <w:ind w:left="0" w:firstLine="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 w:val="20"/>
          <w:szCs w:val="20"/>
        </w:rPr>
        <w:t>取出新鲜组织后，应及时固定，无法及时固定时，应保存于生理盐水中及时送检。</w:t>
      </w:r>
    </w:p>
    <w:p>
      <w:pPr>
        <w:spacing w:line="400" w:lineRule="exact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hint="eastAsia"/>
          <w:sz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有效期：</w:t>
      </w:r>
      <w:r>
        <w:rPr>
          <w:rFonts w:hint="eastAsia" w:ascii="微软雅黑" w:hAnsi="微软雅黑" w:eastAsia="微软雅黑"/>
          <w:szCs w:val="21"/>
        </w:rPr>
        <w:t xml:space="preserve"> 12个月有效。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32"/>
      </w:rPr>
      <w:pict>
        <v:shape id="PowerPlusWaterMarkObject216753" o:spid="_x0000_s2055" o:spt="136" type="#_x0000_t136" style="position:absolute;left:0pt;height:71.05pt;width:565.25pt;mso-position-horizontal:center;mso-position-horizontal-relative:margin;mso-position-vertical:center;mso-position-vertical-relative:margin;rotation:-2949120f;z-index:-8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" style="font-family:微软雅黑;font-size:36pt;v-same-letter-heights:f;v-text-align:center;"/>
        </v:shape>
      </w:pic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7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7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7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7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7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7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7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7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7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7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7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715A"/>
    <w:multiLevelType w:val="multilevel"/>
    <w:tmpl w:val="4A55715A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F0C0207"/>
    <w:multiLevelType w:val="multilevel"/>
    <w:tmpl w:val="6F0C020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DFF1B69"/>
    <w:rsid w:val="135857C2"/>
    <w:rsid w:val="1ED51427"/>
    <w:rsid w:val="225C406D"/>
    <w:rsid w:val="272C1110"/>
    <w:rsid w:val="2EEE6DA0"/>
    <w:rsid w:val="383D440E"/>
    <w:rsid w:val="3DE14E93"/>
    <w:rsid w:val="437C2F33"/>
    <w:rsid w:val="46D9022E"/>
    <w:rsid w:val="4724590A"/>
    <w:rsid w:val="4F6010CA"/>
    <w:rsid w:val="5AB7261C"/>
    <w:rsid w:val="6D6B48A6"/>
    <w:rsid w:val="7F661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uiPriority w:val="0"/>
    <w:rPr>
      <w:i/>
      <w:color w:val="4F81BD"/>
      <w:sz w:val="24"/>
    </w:rPr>
  </w:style>
  <w:style w:type="paragraph" w:styleId="9">
    <w:name w:val="Title"/>
    <w:basedOn w:val="1"/>
    <w:uiPriority w:val="0"/>
    <w:pPr>
      <w:spacing w:after="300"/>
    </w:pPr>
    <w:rPr>
      <w:color w:val="17365D"/>
      <w:sz w:val="52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Cute  princess</cp:lastModifiedBy>
  <dcterms:modified xsi:type="dcterms:W3CDTF">2019-03-12T03:53:32Z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2052-11.1.0.8214</vt:lpwstr>
  </property>
</Properties>
</file>