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普鲁士蓝染色液(伊红法)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057"/>
            <w:col w:w="641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含铁血黄素(Hemosiderin)是一种血红蛋白源性色素，为金黄色或棕黄色颗粒，因其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含铁，且为金黄色，故称为含铁血黄素。当红细胞被巨噬细胞吞噬后，在溶酶体酶的作用下，</w:t>
      </w:r>
      <w:r>
        <w:rPr>
          <w:rFonts w:hint="eastAsia" w:ascii="宋体" w:hAnsi="宋体" w:eastAsia="宋体" w:cs="宋体"/>
        </w:rPr>
        <w:t xml:space="preserve">血红蛋白被分解为不含铁的橙色血质和含铁的含铁血黄素。 </w:t>
      </w:r>
      <w:r>
        <w:rPr>
          <w:rFonts w:hint="eastAsia" w:ascii="宋体" w:hAnsi="宋体" w:eastAsia="宋体" w:cs="宋体"/>
        </w:rPr>
        <w:t xml:space="preserve">Perls 普鲁士蓝反(Prussian blue </w:t>
      </w:r>
      <w:r>
        <w:rPr>
          <w:rFonts w:hint="eastAsia" w:ascii="宋体" w:hAnsi="宋体" w:eastAsia="宋体" w:cs="宋体"/>
        </w:rPr>
        <w:t>reaction)又称为含铁血黄素染色，即经过亚铁氰化钾和稀酸处理后可以产生蓝色，常见于吞噬细胞或间质内，其染色原理在于亚铁氰化钾溶液使三价铁离子从蛋白质中被稀盐酸</w:t>
      </w:r>
      <w:r>
        <w:rPr>
          <w:rFonts w:hint="eastAsia" w:ascii="宋体" w:hAnsi="宋体" w:eastAsia="宋体" w:cs="宋体"/>
        </w:rPr>
        <w:t>分离出来，三价铁与亚铁氰化钾反应，生成一种不溶解的蓝色化合物即三价铁的亚铁氰化物。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普鲁士蓝染色用于显示局部组织内的各种出血性病变，常见于吞噬细胞内，</w:t>
      </w:r>
      <w:r>
        <w:rPr>
          <w:rFonts w:hint="eastAsia" w:ascii="宋体" w:hAnsi="宋体" w:eastAsia="宋体" w:cs="宋体"/>
        </w:rPr>
        <w:t>可以很好地区分含铁血黄素不其他色素。该染色液稳定性好、可以长期保存、不易产生沉淀、应用范围广，可以进行复染，该染色液的复染液采用伊红。</w:t>
      </w:r>
    </w:p>
    <w:p>
      <w:pPr>
        <w:pStyle w:val="4"/>
        <w:spacing w:before="2"/>
        <w:ind w:left="0"/>
        <w:rPr>
          <w:sz w:val="24"/>
        </w:rPr>
      </w:pPr>
    </w:p>
    <w:p>
      <w:pPr>
        <w:pStyle w:val="2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组</w:t>
      </w:r>
      <w:r>
        <w:t>成：</w:t>
      </w:r>
    </w:p>
    <w:p>
      <w:pPr>
        <w:pStyle w:val="4"/>
        <w:spacing w:before="17"/>
        <w:ind w:left="0"/>
        <w:rPr>
          <w:rFonts w:ascii="Malgun Gothic"/>
          <w:b/>
          <w:sz w:val="24"/>
        </w:rPr>
      </w:pPr>
    </w:p>
    <w:p>
      <w:pPr>
        <w:tabs>
          <w:tab w:val="left" w:pos="5579"/>
        </w:tabs>
        <w:spacing w:before="0"/>
        <w:ind w:left="4595" w:right="0" w:firstLine="0"/>
        <w:jc w:val="left"/>
        <w:rPr>
          <w:rFonts w:ascii="微软雅黑" w:hAnsi="微软雅黑"/>
          <w:sz w:val="19"/>
        </w:rPr>
      </w:pPr>
      <w:r>
        <w:rPr>
          <w:rFonts w:ascii="微软雅黑" w:hAnsi="微软雅黑"/>
          <w:sz w:val="19"/>
        </w:rPr>
        <w:t>2×50ml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2×100ml</w:t>
      </w:r>
    </w:p>
    <w:p>
      <w:pPr>
        <w:pStyle w:val="4"/>
        <w:tabs>
          <w:tab w:val="left" w:pos="2732"/>
          <w:tab w:val="left" w:pos="4715"/>
          <w:tab w:val="left" w:pos="5781"/>
          <w:tab w:val="left" w:pos="6712"/>
        </w:tabs>
        <w:spacing w:before="28"/>
        <w:ind w:left="150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A1: Perls</w:t>
      </w:r>
      <w:r>
        <w:rPr>
          <w:rFonts w:hint="eastAsia" w:ascii="微软雅黑" w:eastAsia="微软雅黑"/>
          <w:spacing w:val="-4"/>
        </w:rPr>
        <w:t xml:space="preserve"> </w:t>
      </w:r>
      <w:r>
        <w:rPr>
          <w:rFonts w:hint="eastAsia" w:ascii="微软雅黑" w:eastAsia="微软雅黑"/>
        </w:rPr>
        <w:t>stain</w:t>
      </w:r>
      <w:r>
        <w:rPr>
          <w:rFonts w:hint="eastAsia" w:ascii="微软雅黑" w:eastAsia="微软雅黑"/>
          <w:spacing w:val="-1"/>
        </w:rPr>
        <w:t xml:space="preserve"> </w:t>
      </w:r>
      <w:r>
        <w:rPr>
          <w:rFonts w:hint="eastAsia" w:ascii="微软雅黑" w:eastAsia="微软雅黑"/>
        </w:rPr>
        <w:t>A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25ml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50ml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spacing w:before="19"/>
        <w:ind w:left="1502"/>
        <w:rPr>
          <w:rFonts w:ascii="微软雅黑"/>
        </w:rPr>
      </w:pPr>
      <w:r>
        <w:rPr>
          <w:rFonts w:ascii="微软雅黑"/>
        </w:rPr>
        <w:t>Perls stain A2: Perls stain B</w:t>
      </w:r>
    </w:p>
    <w:p>
      <w:pPr>
        <w:pStyle w:val="4"/>
        <w:spacing w:before="6"/>
        <w:ind w:left="309"/>
        <w:rPr>
          <w:rFonts w:ascii="微软雅黑"/>
        </w:rPr>
      </w:pPr>
      <w:r>
        <w:br w:type="column"/>
      </w:r>
      <w:r>
        <w:rPr>
          <w:rFonts w:ascii="微软雅黑"/>
        </w:rPr>
        <w:t>25ml</w:t>
      </w:r>
    </w:p>
    <w:p>
      <w:pPr>
        <w:pStyle w:val="4"/>
        <w:tabs>
          <w:tab w:val="left" w:pos="1458"/>
        </w:tabs>
        <w:spacing w:before="6"/>
        <w:ind w:left="527"/>
        <w:rPr>
          <w:rFonts w:ascii="微软雅黑"/>
        </w:rPr>
      </w:pPr>
      <w:r>
        <w:br w:type="column"/>
      </w:r>
      <w:r>
        <w:rPr>
          <w:rFonts w:ascii="微软雅黑"/>
        </w:rPr>
        <w:t>50ml</w:t>
      </w:r>
      <w:r>
        <w:rPr>
          <w:rFonts w:ascii="微软雅黑"/>
        </w:rPr>
        <w:tab/>
      </w:r>
      <w:r>
        <w:rPr>
          <w:rFonts w:ascii="微软雅黑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4367" w:space="40"/>
            <w:col w:w="809" w:space="39"/>
            <w:col w:w="3865"/>
          </w:cols>
        </w:sectPr>
      </w:pPr>
    </w:p>
    <w:p>
      <w:pPr>
        <w:spacing w:before="33"/>
        <w:ind w:left="0" w:right="263" w:firstLine="0"/>
        <w:jc w:val="center"/>
        <w:rPr>
          <w:sz w:val="21"/>
        </w:rPr>
      </w:pPr>
      <w:r>
        <w:rPr>
          <w:rFonts w:hint="eastAsia" w:ascii="宋体" w:eastAsia="宋体"/>
          <w:w w:val="105"/>
          <w:sz w:val="21"/>
        </w:rPr>
        <w:t>临</w:t>
      </w:r>
      <w:r>
        <w:rPr>
          <w:w w:val="105"/>
          <w:sz w:val="21"/>
        </w:rPr>
        <w:t xml:space="preserve">用前，取 </w:t>
      </w:r>
      <w:r>
        <w:rPr>
          <w:rFonts w:hint="eastAsia" w:ascii="微软雅黑" w:eastAsia="微软雅黑"/>
          <w:w w:val="105"/>
          <w:sz w:val="21"/>
        </w:rPr>
        <w:t>A1</w:t>
      </w:r>
      <w:r>
        <w:rPr>
          <w:w w:val="120"/>
          <w:sz w:val="21"/>
        </w:rPr>
        <w:t>、</w:t>
      </w:r>
      <w:r>
        <w:rPr>
          <w:rFonts w:hint="eastAsia" w:ascii="微软雅黑" w:eastAsia="微软雅黑"/>
          <w:w w:val="105"/>
          <w:sz w:val="21"/>
        </w:rPr>
        <w:t xml:space="preserve">A2 </w:t>
      </w:r>
      <w:r>
        <w:rPr>
          <w:w w:val="105"/>
          <w:sz w:val="21"/>
        </w:rPr>
        <w:t>等量混合即</w:t>
      </w:r>
      <w:r>
        <w:rPr>
          <w:rFonts w:hint="eastAsia" w:ascii="宋体" w:eastAsia="宋体"/>
          <w:w w:val="105"/>
          <w:sz w:val="21"/>
        </w:rPr>
        <w:t xml:space="preserve">为 </w:t>
      </w:r>
      <w:r>
        <w:rPr>
          <w:rFonts w:hint="eastAsia" w:ascii="微软雅黑" w:eastAsia="微软雅黑"/>
          <w:w w:val="105"/>
          <w:sz w:val="19"/>
        </w:rPr>
        <w:t>Perls stain</w:t>
      </w:r>
      <w:r>
        <w:rPr>
          <w:w w:val="105"/>
          <w:sz w:val="21"/>
        </w:rPr>
        <w:t>，</w:t>
      </w:r>
      <w:r>
        <w:rPr>
          <w:rFonts w:hint="eastAsia" w:ascii="宋体" w:eastAsia="宋体"/>
          <w:w w:val="105"/>
          <w:sz w:val="21"/>
        </w:rPr>
        <w:t>不</w:t>
      </w:r>
      <w:r>
        <w:rPr>
          <w:w w:val="105"/>
          <w:sz w:val="21"/>
        </w:rPr>
        <w:t>宜提前配制。</w:t>
      </w:r>
    </w:p>
    <w:p>
      <w:pPr>
        <w:tabs>
          <w:tab w:val="left" w:pos="3228"/>
          <w:tab w:val="left" w:pos="4219"/>
          <w:tab w:val="left" w:pos="5210"/>
        </w:tabs>
        <w:spacing w:before="18"/>
        <w:ind w:left="0" w:right="178" w:firstLine="0"/>
        <w:jc w:val="center"/>
        <w:rPr>
          <w:sz w:val="19"/>
        </w:rPr>
      </w:pPr>
      <w:r>
        <w:rPr>
          <w:rFonts w:hint="eastAsia" w:ascii="宋体" w:eastAsia="宋体"/>
          <w:sz w:val="21"/>
        </w:rPr>
        <w:t>试剂</w:t>
      </w:r>
      <w:r>
        <w:rPr>
          <w:rFonts w:hint="eastAsia" w:ascii="微软雅黑" w:eastAsia="微软雅黑"/>
          <w:sz w:val="21"/>
        </w:rPr>
        <w:t>(B):</w:t>
      </w:r>
      <w:r>
        <w:rPr>
          <w:rFonts w:hint="eastAsia" w:ascii="微软雅黑" w:eastAsia="微软雅黑"/>
          <w:spacing w:val="60"/>
          <w:sz w:val="21"/>
        </w:rPr>
        <w:t xml:space="preserve"> </w:t>
      </w:r>
      <w:r>
        <w:rPr>
          <w:sz w:val="21"/>
        </w:rPr>
        <w:t>伊</w:t>
      </w:r>
      <w:r>
        <w:rPr>
          <w:rFonts w:hint="eastAsia" w:ascii="宋体" w:eastAsia="宋体"/>
          <w:sz w:val="21"/>
        </w:rPr>
        <w:t>红</w:t>
      </w:r>
      <w:r>
        <w:rPr>
          <w:sz w:val="21"/>
        </w:rPr>
        <w:t>染色液</w:t>
      </w:r>
      <w:r>
        <w:rPr>
          <w:sz w:val="21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100ml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2"/>
          <w:sz w:val="19"/>
        </w:rPr>
        <w:t xml:space="preserve"> </w:t>
      </w:r>
      <w:r>
        <w:rPr>
          <w:sz w:val="19"/>
        </w:rPr>
        <w:t>避 光</w:t>
      </w:r>
    </w:p>
    <w:p>
      <w:pPr>
        <w:pStyle w:val="4"/>
        <w:ind w:left="0"/>
        <w:rPr>
          <w:sz w:val="28"/>
        </w:rPr>
      </w:pPr>
    </w:p>
    <w:p>
      <w:pPr>
        <w:pStyle w:val="4"/>
        <w:spacing w:before="7"/>
        <w:ind w:left="0"/>
        <w:rPr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1、固定液：10%中性福尔马林、4%多聚甲醛等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(一)石蜡切片染色：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组织固定于 10%中性福尔马林，常规脱水包埋。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2、切片厚度 4μm，常规脱蜡至水。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3、蒸馏水水洗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ind w:right="27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5"/>
          <w:w w:val="105"/>
        </w:rPr>
        <w:t xml:space="preserve">、切片入 </w:t>
      </w:r>
      <w:r>
        <w:rPr>
          <w:rFonts w:hint="eastAsia" w:ascii="宋体" w:hAnsi="宋体" w:eastAsia="宋体" w:cs="宋体"/>
          <w:w w:val="105"/>
        </w:rPr>
        <w:t>Perls stain(见注意事</w:t>
      </w:r>
      <w:r>
        <w:rPr>
          <w:rFonts w:hint="eastAsia" w:ascii="宋体" w:hAnsi="宋体" w:eastAsia="宋体" w:cs="宋体"/>
          <w:spacing w:val="-32"/>
          <w:w w:val="105"/>
        </w:rPr>
        <w:t xml:space="preserve">项 </w:t>
      </w:r>
      <w:r>
        <w:rPr>
          <w:rFonts w:hint="eastAsia" w:ascii="宋体" w:hAnsi="宋体" w:eastAsia="宋体" w:cs="宋体"/>
          <w:w w:val="105"/>
        </w:rPr>
        <w:t>2)</w:t>
      </w:r>
      <w:r>
        <w:rPr>
          <w:rFonts w:hint="eastAsia" w:ascii="宋体" w:hAnsi="宋体" w:eastAsia="宋体" w:cs="宋体"/>
          <w:spacing w:val="-6"/>
          <w:w w:val="105"/>
        </w:rPr>
        <w:t xml:space="preserve">，浸染 </w:t>
      </w:r>
      <w:r>
        <w:rPr>
          <w:rFonts w:hint="eastAsia" w:ascii="宋体" w:hAnsi="宋体" w:eastAsia="宋体" w:cs="宋体"/>
          <w:w w:val="105"/>
        </w:rPr>
        <w:t>15～30min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5、蒸馏</w:t>
      </w:r>
      <w:r>
        <w:rPr>
          <w:rFonts w:hint="eastAsia" w:ascii="宋体" w:hAnsi="宋体" w:eastAsia="宋体" w:cs="宋体"/>
          <w:spacing w:val="-1"/>
          <w:w w:val="105"/>
        </w:rPr>
        <w:t xml:space="preserve">水充分冲洗 </w:t>
      </w:r>
      <w:r>
        <w:rPr>
          <w:rFonts w:hint="eastAsia" w:ascii="宋体" w:hAnsi="宋体" w:eastAsia="宋体" w:cs="宋体"/>
          <w:w w:val="105"/>
        </w:rPr>
        <w:t>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6、入伊红染色液，淡染细胞核 15～30s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7、自来水冲洗 1～5s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8、常规脱水透明，中性树胶封固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t>(二)冰冻切片染色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1、无需脱蜡，直接迅速用蒸馏水冲洗 2～3min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2、染色、脱蜡、透明、封固步骤同石蜡切片的染色步骤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t>(三)细胞染色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4%多聚甲醛</w:t>
      </w:r>
      <w:r>
        <w:rPr>
          <w:rFonts w:hint="eastAsia" w:ascii="宋体" w:hAnsi="宋体" w:eastAsia="宋体" w:cs="宋体"/>
          <w:spacing w:val="-14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10～20min</w:t>
      </w:r>
      <w:r>
        <w:rPr>
          <w:rFonts w:hint="eastAsia" w:ascii="宋体" w:hAnsi="宋体" w:eastAsia="宋体" w:cs="宋体"/>
          <w:w w:val="11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6"/>
          <w:w w:val="110"/>
        </w:rPr>
        <w:t xml:space="preserve">、自来水冲洗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</w:t>
      </w:r>
      <w:r>
        <w:rPr>
          <w:rFonts w:hint="eastAsia" w:ascii="宋体" w:hAnsi="宋体" w:eastAsia="宋体" w:cs="宋体"/>
          <w:spacing w:val="-11"/>
          <w:w w:val="110"/>
        </w:rPr>
        <w:t xml:space="preserve">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4、染色、脱蜡、透明、封固步骤同石蜡切片的染色步骤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6" w:line="35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4"/>
        <w:ind w:left="0"/>
        <w:rPr>
          <w:rFonts w:ascii="Malgun Gothic"/>
          <w:b/>
          <w:sz w:val="22"/>
        </w:rPr>
      </w:pPr>
      <w:r>
        <w:br w:type="column"/>
      </w:r>
    </w:p>
    <w:p>
      <w:pPr>
        <w:pStyle w:val="4"/>
        <w:spacing w:before="5"/>
        <w:ind w:left="0"/>
        <w:rPr>
          <w:rFonts w:ascii="Malgun Gothic"/>
          <w:b/>
          <w:sz w:val="13"/>
        </w:rPr>
      </w:pPr>
    </w:p>
    <w:p>
      <w:pPr>
        <w:pStyle w:val="4"/>
        <w:tabs>
          <w:tab w:val="left" w:pos="2920"/>
        </w:tabs>
        <w:ind w:left="22"/>
      </w:pPr>
      <w:r>
        <w:t>含</w:t>
      </w:r>
      <w:r>
        <w:rPr>
          <w:rFonts w:hint="eastAsia" w:ascii="宋体" w:eastAsia="宋体"/>
        </w:rPr>
        <w:t>铁</w:t>
      </w:r>
      <w:r>
        <w:t>血黄素或三价</w:t>
      </w:r>
      <w:r>
        <w:rPr>
          <w:rFonts w:hint="eastAsia" w:ascii="宋体" w:eastAsia="宋体"/>
        </w:rPr>
        <w:t>铁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4"/>
        <w:tabs>
          <w:tab w:val="left" w:pos="2920"/>
        </w:tabs>
        <w:spacing w:before="111"/>
        <w:ind w:left="22"/>
      </w:pP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胞核、其他</w:t>
      </w:r>
      <w:r>
        <w:rPr>
          <w:rFonts w:hint="eastAsia" w:ascii="宋体" w:eastAsia="宋体"/>
          <w:w w:val="105"/>
        </w:rPr>
        <w:t>组织</w:t>
      </w:r>
      <w:r>
        <w:rPr>
          <w:rFonts w:hint="eastAsia" w:ascii="宋体" w:eastAsia="宋体"/>
          <w:w w:val="105"/>
        </w:rP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4"/>
        <w:ind w:left="0"/>
        <w:rPr>
          <w:sz w:val="20"/>
        </w:rPr>
      </w:pPr>
    </w:p>
    <w:p>
      <w:pPr>
        <w:pStyle w:val="4"/>
        <w:spacing w:before="6"/>
        <w:ind w:left="0"/>
        <w:rPr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阴性对照</w:t>
      </w:r>
      <w:r>
        <w:rPr>
          <w:rFonts w:hint="eastAsia" w:ascii="宋体" w:hAnsi="宋体" w:eastAsia="宋体" w:cs="宋体"/>
          <w:sz w:val="21"/>
        </w:rPr>
        <w:t>(可选)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  <w:spacing w:val="-2"/>
          <w:w w:val="105"/>
        </w:rPr>
        <w:t>取相同切片脱蜡至水。入 5%草酸孵育 2～6h，经 Perls stain，其余步骤同上。结果为阴性。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  <w:spacing w:val="-2"/>
          <w:w w:val="105"/>
        </w:rPr>
        <w:t>1、 切片脱蜡应尽量干净。组织固定常采用 10%中性福尔马林，经普通福尔马林长期固定后，组织会有损伤。避免使用酸性固定剂，铬酸盐处理也会妨碍铁的保存。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  <w:spacing w:val="-2"/>
          <w:w w:val="105"/>
        </w:rPr>
        <w:t>2、 整个操作过程中容器要干净，避免用金属铁制品，洗切片和容器时以蒸馏水为宜，因普通水内含铁质。Perls stain 染色时，应根据样本情况调整着色时间。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  <w:spacing w:val="-2"/>
          <w:w w:val="105"/>
        </w:rPr>
        <w:t>3、 所有切片都应使用同一个阳性对照切片，选择适合的对照非常重要。尸检肺组织是一个很好的对照，包含相当数量的铁阳性巨噬细胞(心衰细胞)。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  <w:spacing w:val="-2"/>
          <w:w w:val="105"/>
        </w:rPr>
        <w:t>4、 冰冻切片和细胞染色，最好根据具体情况摸索实验条件。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73328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3954145</wp:posOffset>
              </wp:positionH>
              <wp:positionV relativeFrom="paragraph">
                <wp:posOffset>-26670</wp:posOffset>
              </wp:positionV>
              <wp:extent cx="1852930" cy="918210"/>
              <wp:effectExtent l="0" t="0" r="13970" b="152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0945" y="443230"/>
                        <a:ext cx="185293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35pt;margin-top:-2.1pt;height:72.3pt;width:145.9pt;z-index:251658240;mso-width-relative:page;mso-height-relative:page;" fillcolor="#FFFFFF" filled="t" stroked="f" coordsize="21600,21600" o:gfxdata="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At7pQ2AAAAAoBAAAPAAAAAAAAAAEAIAAAACIAAABkcnMvZG93&#10;bnJldi54bWxQSwECFAAUAAAACACHTuJAdhhzh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6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line="410" w:lineRule="exact"/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2019-04-23T02:59:00Z</dcterms:created>
  <dc:creator>94099</dc:creator>
  <cp:lastModifiedBy>Cute  princess</cp:lastModifiedBy>
  <dcterms:modified xsi:type="dcterms:W3CDTF">2019-04-23T03:05:36Z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2019-04-23T00:00:00Z</vt:filetime>
  </property>
  <property fmtid="{D5CDD505-2E9C-101B-9397-08002B2CF9AE}" pid="5" name="KSOProductBuildVer">
    <vt:lpwstr>2052-11.1.0.8612</vt:lpwstr>
  </property>
</Properties>
</file>