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神经 HRP 示踪显色液(DAB 法)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607"/>
            <w:col w:w="690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4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上个世纪 70 年代，Kristensopn 和 Olsson 报道了 HRP 可神经末梢摄取，经轴浆逆行运输至神经元胞体，经组织化学方法可显示出神经元的轮廓，从而开发出 HRP  追踪神经元示踪技术，即为 HRP 法。DAB 即 3,3N-Diaminobenzidine Tertrahydrochloride, 是辣根过氧化物酶的常用底物。在辣根过氧化物酶的催化下, DAB 会产生棕色沉淀，该棕色沉淀不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leftChars="0" w:right="248" w:firstLine="37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溶于水和乙醇，显色后呈棕色，可在显微镜下观察。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350" w:lineRule="exact"/>
        <w:ind w:left="403" w:right="140" w:rightChars="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  <w:spacing w:val="-14"/>
        </w:rPr>
        <w:t xml:space="preserve">经 </w:t>
      </w:r>
      <w:r>
        <w:rPr>
          <w:rFonts w:hint="eastAsia" w:ascii="宋体" w:hAnsi="宋体" w:eastAsia="宋体" w:cs="宋体"/>
        </w:rPr>
        <w:t>HRP 示踪显色液(DAB 法)是动物经</w:t>
      </w:r>
      <w:r>
        <w:rPr>
          <w:rFonts w:hint="eastAsia" w:ascii="宋体" w:hAnsi="宋体" w:eastAsia="宋体" w:cs="宋体"/>
          <w:spacing w:val="2"/>
        </w:rPr>
        <w:t xml:space="preserve">麻醉、注入 </w:t>
      </w:r>
      <w:r>
        <w:rPr>
          <w:rFonts w:hint="eastAsia" w:ascii="宋体" w:hAnsi="宋体" w:eastAsia="宋体" w:cs="宋体"/>
        </w:rPr>
        <w:t>HRP 后，游离或络合型</w:t>
      </w:r>
      <w:r>
        <w:rPr>
          <w:rFonts w:hint="eastAsia" w:ascii="宋体" w:hAnsi="宋体" w:eastAsia="宋体" w:cs="宋体"/>
          <w:spacing w:val="13"/>
        </w:rPr>
        <w:t xml:space="preserve">的 </w:t>
      </w:r>
      <w:r>
        <w:rPr>
          <w:rFonts w:hint="eastAsia" w:ascii="宋体" w:hAnsi="宋体" w:eastAsia="宋体" w:cs="宋体"/>
        </w:rPr>
        <w:t>HRP 不氧化剂反应生成络合物，该络合物氧化供氢</w:t>
      </w:r>
      <w:r>
        <w:rPr>
          <w:rFonts w:hint="eastAsia" w:ascii="宋体" w:hAnsi="宋体" w:eastAsia="宋体" w:cs="宋体"/>
          <w:spacing w:val="26"/>
        </w:rPr>
        <w:t xml:space="preserve">的 </w:t>
      </w:r>
      <w:r>
        <w:rPr>
          <w:rFonts w:hint="eastAsia" w:ascii="宋体" w:hAnsi="宋体" w:eastAsia="宋体" w:cs="宋体"/>
        </w:rPr>
        <w:t>DAB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显色剂，呈棕色，在显微镜下清晰</w:t>
      </w:r>
      <w:r>
        <w:rPr>
          <w:rFonts w:hint="eastAsia" w:ascii="宋体" w:hAnsi="宋体" w:eastAsia="宋体" w:cs="宋体"/>
          <w:lang w:val="en-US" w:eastAsia="zh-CN"/>
        </w:rPr>
        <w:t>可</w:t>
      </w:r>
      <w:r>
        <w:rPr>
          <w:rFonts w:hint="eastAsia" w:ascii="宋体" w:hAnsi="宋体" w:eastAsia="宋体" w:cs="宋体"/>
        </w:rPr>
        <w:t>见。该显色液仅用于科研领域，不宜用于临床诊断或其他用途。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5"/>
        <w:ind w:left="0"/>
        <w:rPr>
          <w:sz w:val="23"/>
        </w:rPr>
      </w:pPr>
    </w:p>
    <w:tbl>
      <w:tblPr>
        <w:tblStyle w:val="7"/>
        <w:tblW w:w="715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122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05" w:type="dxa"/>
          </w:tcPr>
          <w:p>
            <w:pPr>
              <w:pStyle w:val="12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1222" w:type="dxa"/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605" w:type="dxa"/>
          </w:tcPr>
          <w:p>
            <w:pPr>
              <w:pStyle w:val="12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12"/>
              <w:spacing w:before="168"/>
              <w:ind w:left="200" w:right="89"/>
              <w:jc w:val="center"/>
              <w:rPr>
                <w:sz w:val="19"/>
              </w:rPr>
            </w:pPr>
            <w:r>
              <w:rPr>
                <w:sz w:val="19"/>
              </w:rPr>
              <w:t>50T</w:t>
            </w:r>
          </w:p>
        </w:tc>
        <w:tc>
          <w:tcPr>
            <w:tcW w:w="1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05" w:type="dxa"/>
          </w:tcPr>
          <w:p>
            <w:pPr>
              <w:pStyle w:val="12"/>
              <w:spacing w:before="90" w:line="369" w:lineRule="exact"/>
              <w:ind w:left="1282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DAB assay buffer</w:t>
            </w:r>
          </w:p>
        </w:tc>
        <w:tc>
          <w:tcPr>
            <w:tcW w:w="1222" w:type="dxa"/>
          </w:tcPr>
          <w:p>
            <w:pPr>
              <w:pStyle w:val="12"/>
              <w:spacing w:before="116" w:line="343" w:lineRule="exact"/>
              <w:ind w:left="200" w:right="166"/>
              <w:jc w:val="center"/>
              <w:rPr>
                <w:sz w:val="19"/>
              </w:rPr>
            </w:pPr>
            <w:r>
              <w:rPr>
                <w:sz w:val="19"/>
              </w:rPr>
              <w:t>2×500ml</w:t>
            </w:r>
          </w:p>
        </w:tc>
        <w:tc>
          <w:tcPr>
            <w:tcW w:w="1327" w:type="dxa"/>
          </w:tcPr>
          <w:p>
            <w:pPr>
              <w:pStyle w:val="12"/>
              <w:spacing w:before="90" w:line="369" w:lineRule="exact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05" w:type="dxa"/>
          </w:tcPr>
          <w:p>
            <w:pPr>
              <w:pStyle w:val="12"/>
              <w:spacing w:before="2" w:line="378" w:lineRule="exact"/>
              <w:ind w:left="128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DAB  </w:t>
            </w:r>
            <w:r>
              <w:rPr>
                <w:rFonts w:hint="eastAsia" w:ascii="宋体" w:eastAsia="宋体"/>
                <w:sz w:val="21"/>
              </w:rPr>
              <w:t>显</w:t>
            </w:r>
            <w:r>
              <w:rPr>
                <w:rFonts w:hint="eastAsia" w:ascii="MS UI Gothic" w:eastAsia="MS UI Gothic"/>
                <w:sz w:val="21"/>
              </w:rPr>
              <w:t>色液</w:t>
            </w:r>
          </w:p>
        </w:tc>
        <w:tc>
          <w:tcPr>
            <w:tcW w:w="1222" w:type="dxa"/>
          </w:tcPr>
          <w:p>
            <w:pPr>
              <w:pStyle w:val="12"/>
              <w:spacing w:before="24"/>
              <w:ind w:left="197" w:right="166"/>
              <w:jc w:val="center"/>
              <w:rPr>
                <w:sz w:val="19"/>
              </w:rPr>
            </w:pPr>
            <w:r>
              <w:rPr>
                <w:sz w:val="19"/>
              </w:rPr>
              <w:t>30ml</w:t>
            </w:r>
          </w:p>
        </w:tc>
        <w:tc>
          <w:tcPr>
            <w:tcW w:w="1327" w:type="dxa"/>
          </w:tcPr>
          <w:p>
            <w:pPr>
              <w:pStyle w:val="12"/>
              <w:spacing w:before="2" w:line="378" w:lineRule="exact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-20℃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05" w:type="dxa"/>
          </w:tcPr>
          <w:p>
            <w:pPr>
              <w:pStyle w:val="12"/>
              <w:spacing w:before="11"/>
              <w:ind w:left="1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DAB  </w:t>
            </w:r>
            <w:r>
              <w:rPr>
                <w:rFonts w:hint="eastAsia" w:ascii="MS UI Gothic" w:eastAsia="MS UI Gothic"/>
                <w:sz w:val="21"/>
              </w:rPr>
              <w:t>增</w:t>
            </w:r>
            <w:r>
              <w:rPr>
                <w:rFonts w:hint="eastAsia" w:ascii="宋体" w:eastAsia="宋体"/>
                <w:sz w:val="21"/>
              </w:rPr>
              <w:t>强剂</w:t>
            </w:r>
          </w:p>
        </w:tc>
        <w:tc>
          <w:tcPr>
            <w:tcW w:w="1222" w:type="dxa"/>
          </w:tcPr>
          <w:p>
            <w:pPr>
              <w:pStyle w:val="12"/>
              <w:spacing w:before="63" w:line="343" w:lineRule="exact"/>
              <w:ind w:left="188" w:right="166"/>
              <w:jc w:val="center"/>
              <w:rPr>
                <w:sz w:val="19"/>
              </w:rPr>
            </w:pPr>
            <w:r>
              <w:rPr>
                <w:sz w:val="19"/>
              </w:rPr>
              <w:t>2×1ml</w:t>
            </w:r>
          </w:p>
        </w:tc>
        <w:tc>
          <w:tcPr>
            <w:tcW w:w="1327" w:type="dxa"/>
          </w:tcPr>
          <w:p>
            <w:pPr>
              <w:pStyle w:val="12"/>
              <w:spacing w:before="11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05" w:type="dxa"/>
          </w:tcPr>
          <w:p>
            <w:pPr>
              <w:pStyle w:val="12"/>
              <w:spacing w:before="15" w:line="312" w:lineRule="exact"/>
              <w:ind w:left="1282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(D): DAB Wash buffer(20×)</w:t>
            </w:r>
          </w:p>
        </w:tc>
        <w:tc>
          <w:tcPr>
            <w:tcW w:w="1222" w:type="dxa"/>
          </w:tcPr>
          <w:p>
            <w:pPr>
              <w:pStyle w:val="12"/>
              <w:spacing w:before="12" w:line="315" w:lineRule="exact"/>
              <w:ind w:left="161" w:right="166"/>
              <w:jc w:val="center"/>
              <w:rPr>
                <w:sz w:val="19"/>
              </w:rPr>
            </w:pPr>
            <w:r>
              <w:rPr>
                <w:sz w:val="19"/>
              </w:rPr>
              <w:t>100ml</w:t>
            </w:r>
          </w:p>
        </w:tc>
        <w:tc>
          <w:tcPr>
            <w:tcW w:w="1327" w:type="dxa"/>
          </w:tcPr>
          <w:p>
            <w:pPr>
              <w:pStyle w:val="12"/>
              <w:spacing w:before="15" w:line="312" w:lineRule="exac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</w:tbl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5"/>
        <w:ind w:left="0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(一)、准备工作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动物麻醉：多用(3.5%)戊巴比妥钠作为麻醉剂，大鼠的麻醉剂量为 0.25-0.35ml/100g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导入 HRP：有压力注射法、电泳法以及周围神经系统的注射涂抹等法。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3、确定动物存活期。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3" w:right="28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动物灌注：麻醉后，经左心室升主动脉插管行心内灌注固定。先用生理盐</w:t>
      </w:r>
      <w:r>
        <w:rPr>
          <w:rFonts w:hint="eastAsia" w:ascii="宋体" w:hAnsi="宋体" w:eastAsia="宋体" w:cs="宋体"/>
          <w:spacing w:val="-13"/>
          <w:w w:val="105"/>
        </w:rPr>
        <w:t xml:space="preserve">水或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-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快速</w:t>
      </w:r>
      <w:r>
        <w:rPr>
          <w:rFonts w:hint="eastAsia" w:ascii="宋体" w:hAnsi="宋体" w:eastAsia="宋体" w:cs="宋体"/>
          <w:spacing w:val="-6"/>
          <w:w w:val="105"/>
        </w:rPr>
        <w:t xml:space="preserve">灌注。随后用 </w:t>
      </w:r>
      <w:r>
        <w:rPr>
          <w:rFonts w:hint="eastAsia" w:ascii="宋体" w:hAnsi="宋体" w:eastAsia="宋体" w:cs="宋体"/>
          <w:w w:val="105"/>
        </w:rPr>
        <w:t>4%的多聚甲醛固定液灌注，先快后慢，时间</w:t>
      </w:r>
      <w:r>
        <w:rPr>
          <w:rFonts w:hint="eastAsia" w:ascii="宋体" w:hAnsi="宋体" w:eastAsia="宋体" w:cs="宋体"/>
          <w:spacing w:val="-9"/>
          <w:w w:val="105"/>
        </w:rPr>
        <w:t xml:space="preserve">控制在 </w:t>
      </w:r>
      <w:r>
        <w:rPr>
          <w:rFonts w:hint="eastAsia" w:ascii="宋体" w:hAnsi="宋体" w:eastAsia="宋体" w:cs="宋体"/>
          <w:w w:val="105"/>
        </w:rPr>
        <w:t>30-40min</w:t>
      </w:r>
      <w:r>
        <w:rPr>
          <w:rFonts w:hint="eastAsia" w:ascii="宋体" w:hAnsi="宋体" w:eastAsia="宋体" w:cs="宋体"/>
          <w:spacing w:val="-1"/>
          <w:w w:val="105"/>
        </w:rPr>
        <w:t xml:space="preserve">。最后用 </w:t>
      </w:r>
      <w:r>
        <w:rPr>
          <w:rFonts w:hint="eastAsia" w:ascii="宋体" w:hAnsi="宋体" w:eastAsia="宋体" w:cs="宋体"/>
          <w:w w:val="105"/>
        </w:rPr>
        <w:t>10% 蔗糖磷酸缓冲液(pH7.4)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3" w:right="286"/>
        <w:jc w:val="both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5、取材：取组织置于  20%的蔗糖磷酸盐缓冲液中，切片厚度  40μm，存于蔗糖磷酸盐缓冲液备用。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(二)、显色反应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3" w:right="66"/>
        <w:textAlignment w:val="auto"/>
        <w:rPr>
          <w:sz w:val="17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3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 xml:space="preserve">DAB </w:t>
      </w:r>
      <w:r>
        <w:rPr>
          <w:rFonts w:hint="eastAsia" w:ascii="宋体" w:hAnsi="宋体" w:eastAsia="宋体" w:cs="宋体"/>
          <w:spacing w:val="-2"/>
          <w:w w:val="105"/>
        </w:rPr>
        <w:t xml:space="preserve">孵育液：取适量的 </w:t>
      </w:r>
      <w:r>
        <w:rPr>
          <w:rFonts w:hint="eastAsia" w:ascii="宋体" w:hAnsi="宋体" w:eastAsia="宋体" w:cs="宋体"/>
          <w:w w:val="105"/>
        </w:rPr>
        <w:t xml:space="preserve">DAB assay buffer </w:t>
      </w:r>
      <w:r>
        <w:rPr>
          <w:rFonts w:hint="eastAsia" w:ascii="宋体" w:hAnsi="宋体" w:eastAsia="宋体" w:cs="宋体"/>
          <w:spacing w:val="-5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DAB 显</w:t>
      </w:r>
      <w:r>
        <w:rPr>
          <w:rFonts w:hint="eastAsia" w:ascii="宋体" w:hAnsi="宋体" w:eastAsia="宋体" w:cs="宋体"/>
          <w:spacing w:val="-2"/>
          <w:w w:val="105"/>
        </w:rPr>
        <w:t xml:space="preserve">色液，按 </w:t>
      </w:r>
      <w:r>
        <w:rPr>
          <w:rFonts w:hint="eastAsia" w:ascii="宋体" w:hAnsi="宋体" w:eastAsia="宋体" w:cs="宋体"/>
          <w:w w:val="105"/>
        </w:rPr>
        <w:t>DAB assay buffer： DAB 显色液=39:1 的比例混合，即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DAB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孵育液，即配即用，不宜保存。</w:t>
      </w:r>
      <w:bookmarkStart w:id="0" w:name="_GoBack"/>
      <w:bookmarkEnd w:id="0"/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spacing w:before="8"/>
        <w:ind w:left="0"/>
        <w:rPr>
          <w:rFonts w:ascii="Cambria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3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3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>DAB 显</w:t>
      </w:r>
      <w:r>
        <w:rPr>
          <w:rFonts w:hint="eastAsia" w:ascii="宋体" w:hAnsi="宋体" w:eastAsia="宋体" w:cs="宋体"/>
          <w:spacing w:val="-1"/>
          <w:w w:val="105"/>
        </w:rPr>
        <w:t xml:space="preserve">色工作液：取适量的 </w:t>
      </w:r>
      <w:r>
        <w:rPr>
          <w:rFonts w:hint="eastAsia" w:ascii="宋体" w:hAnsi="宋体" w:eastAsia="宋体" w:cs="宋体"/>
          <w:w w:val="105"/>
        </w:rPr>
        <w:t>DAB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孵育液和 </w:t>
      </w:r>
      <w:r>
        <w:rPr>
          <w:rFonts w:hint="eastAsia" w:ascii="宋体" w:hAnsi="宋体" w:eastAsia="宋体" w:cs="宋体"/>
          <w:w w:val="105"/>
        </w:rPr>
        <w:t>DAB 增强剂</w:t>
      </w:r>
      <w:r>
        <w:rPr>
          <w:rFonts w:hint="eastAsia" w:ascii="宋体" w:hAnsi="宋体" w:eastAsia="宋体" w:cs="宋体"/>
          <w:spacing w:val="16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DAB 孵育液：DAB </w:t>
      </w:r>
      <w:r>
        <w:rPr>
          <w:rFonts w:hint="eastAsia" w:ascii="宋体" w:hAnsi="宋体" w:eastAsia="宋体" w:cs="宋体"/>
        </w:rPr>
        <w:t>增强剂=2000～8000：1 的比例混合(具体比例应根据具体时间摸索确定)，即</w:t>
      </w:r>
      <w:r>
        <w:rPr>
          <w:rFonts w:hint="eastAsia" w:ascii="宋体" w:hAnsi="宋体" w:eastAsia="宋体" w:cs="宋体"/>
          <w:spacing w:val="-3"/>
        </w:rPr>
        <w:t xml:space="preserve">为 </w:t>
      </w:r>
      <w:r>
        <w:rPr>
          <w:rFonts w:hint="eastAsia" w:ascii="宋体" w:hAnsi="宋体" w:eastAsia="宋体" w:cs="宋体"/>
        </w:rPr>
        <w:t>DAB 显色</w:t>
      </w:r>
      <w:r>
        <w:rPr>
          <w:rFonts w:hint="eastAsia" w:ascii="宋体" w:hAnsi="宋体" w:eastAsia="宋体" w:cs="宋体"/>
          <w:w w:val="110"/>
        </w:rPr>
        <w:t>工作液，即配即用，不宜保存。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right="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4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>1×DAB Wash buffer</w:t>
      </w:r>
      <w:r>
        <w:rPr>
          <w:rFonts w:hint="eastAsia" w:ascii="宋体" w:hAnsi="宋体" w:eastAsia="宋体" w:cs="宋体"/>
          <w:spacing w:val="-2"/>
          <w:w w:val="105"/>
        </w:rPr>
        <w:t xml:space="preserve">：取适量的 </w:t>
      </w:r>
      <w:r>
        <w:rPr>
          <w:rFonts w:hint="eastAsia" w:ascii="宋体" w:hAnsi="宋体" w:eastAsia="宋体" w:cs="宋体"/>
          <w:w w:val="105"/>
        </w:rPr>
        <w:t>DAB Wash buffer(20×)</w:t>
      </w:r>
      <w:r>
        <w:rPr>
          <w:rFonts w:hint="eastAsia" w:ascii="宋体" w:hAnsi="宋体" w:eastAsia="宋体" w:cs="宋体"/>
          <w:spacing w:val="-4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>DAB Wash buffer： 蒸馏水=1:19 的比例混合，即</w:t>
      </w: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1×DAB Wash buffer。室温保存，6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月有效。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4、切片用蒸馏水清洗 3 次，每次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5、切片入 10ml DAB 孵育液(提前 20℃温育)，避光孵育 20min，其间不断晃动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60" w:rightChars="0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6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10ml DAB 显色工作液(</w:t>
      </w:r>
      <w:r>
        <w:rPr>
          <w:rFonts w:hint="eastAsia" w:ascii="宋体" w:hAnsi="宋体" w:eastAsia="宋体" w:cs="宋体"/>
          <w:spacing w:val="-9"/>
          <w:w w:val="105"/>
        </w:rPr>
        <w:t xml:space="preserve">提前 </w:t>
      </w:r>
      <w:r>
        <w:rPr>
          <w:rFonts w:hint="eastAsia" w:ascii="宋体" w:hAnsi="宋体" w:eastAsia="宋体" w:cs="宋体"/>
          <w:w w:val="105"/>
        </w:rPr>
        <w:t>20℃温育)</w:t>
      </w:r>
      <w:r>
        <w:rPr>
          <w:rFonts w:hint="eastAsia" w:ascii="宋体" w:hAnsi="宋体" w:eastAsia="宋体" w:cs="宋体"/>
          <w:spacing w:val="-5"/>
          <w:w w:val="105"/>
        </w:rPr>
        <w:t xml:space="preserve">，避光孵育 </w:t>
      </w:r>
      <w:r>
        <w:rPr>
          <w:rFonts w:hint="eastAsia" w:ascii="宋体" w:hAnsi="宋体" w:eastAsia="宋体" w:cs="宋体"/>
          <w:w w:val="105"/>
        </w:rPr>
        <w:t>20min，其间不断</w:t>
      </w:r>
      <w:r>
        <w:rPr>
          <w:rFonts w:hint="eastAsia" w:ascii="宋体" w:hAnsi="宋体" w:eastAsia="宋体" w:cs="宋体"/>
          <w:w w:val="105"/>
          <w:lang w:val="en-US" w:eastAsia="zh-CN"/>
        </w:rPr>
        <w:t>晃</w:t>
      </w:r>
      <w:r>
        <w:rPr>
          <w:rFonts w:hint="eastAsia" w:ascii="宋体" w:hAnsi="宋体" w:eastAsia="宋体" w:cs="宋体"/>
          <w:w w:val="105"/>
        </w:rPr>
        <w:t>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4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spacing w:val="-5"/>
          <w:w w:val="110"/>
        </w:rPr>
        <w:t xml:space="preserve">、漂洗：取 </w:t>
      </w:r>
      <w:r>
        <w:rPr>
          <w:rFonts w:hint="eastAsia" w:ascii="宋体" w:hAnsi="宋体" w:eastAsia="宋体" w:cs="宋体"/>
          <w:w w:val="110"/>
        </w:rPr>
        <w:t xml:space="preserve">10ml </w:t>
      </w:r>
      <w:r>
        <w:rPr>
          <w:rFonts w:hint="eastAsia" w:ascii="宋体" w:hAnsi="宋体" w:eastAsia="宋体" w:cs="宋体"/>
          <w:spacing w:val="-8"/>
          <w:w w:val="110"/>
        </w:rPr>
        <w:t xml:space="preserve">左右的 </w:t>
      </w:r>
      <w:r>
        <w:rPr>
          <w:rFonts w:hint="eastAsia" w:ascii="宋体" w:hAnsi="宋体" w:eastAsia="宋体" w:cs="宋体"/>
          <w:w w:val="110"/>
        </w:rPr>
        <w:t xml:space="preserve">1×DAB Wash buffer </w:t>
      </w:r>
      <w:r>
        <w:rPr>
          <w:rFonts w:hint="eastAsia" w:ascii="宋体" w:hAnsi="宋体" w:eastAsia="宋体" w:cs="宋体"/>
          <w:spacing w:val="-6"/>
          <w:w w:val="110"/>
        </w:rPr>
        <w:t xml:space="preserve">漂洗切片 </w:t>
      </w:r>
      <w:r>
        <w:rPr>
          <w:rFonts w:hint="eastAsia" w:ascii="宋体" w:hAnsi="宋体" w:eastAsia="宋体" w:cs="宋体"/>
          <w:w w:val="110"/>
        </w:rPr>
        <w:t>2-3 次，每</w:t>
      </w:r>
      <w:r>
        <w:rPr>
          <w:rFonts w:hint="eastAsia" w:ascii="宋体" w:hAnsi="宋体" w:eastAsia="宋体" w:cs="宋体"/>
          <w:spacing w:val="-15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贴片，载玻片用铬明矾明胶包被，室温空气干燥。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9、脱水、透明步骤按如下操作：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①蒸馏水 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②70%</w:t>
      </w:r>
      <w:r>
        <w:rPr>
          <w:rFonts w:hint="eastAsia" w:ascii="宋体" w:hAnsi="宋体" w:eastAsia="宋体" w:cs="宋体"/>
          <w:spacing w:val="12"/>
        </w:rPr>
        <w:t xml:space="preserve">乙醇  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③95%</w:t>
      </w:r>
      <w:r>
        <w:rPr>
          <w:rFonts w:hint="eastAsia" w:ascii="宋体" w:hAnsi="宋体" w:eastAsia="宋体" w:cs="宋体"/>
          <w:spacing w:val="12"/>
        </w:rPr>
        <w:t xml:space="preserve">乙醇  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④100%乙醇 2 次，每次 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⑤二甲苯 2 次，每次 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10、中性树胶封片，显微镜下观察棕色反应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1、如果出现高的反应</w:t>
      </w:r>
      <w:r>
        <w:rPr>
          <w:rFonts w:hint="eastAsia" w:ascii="宋体" w:hAnsi="宋体" w:eastAsia="宋体" w:cs="宋体"/>
          <w:spacing w:val="-1"/>
          <w:w w:val="105"/>
        </w:rPr>
        <w:t xml:space="preserve">背景或沉淀，表明 </w:t>
      </w:r>
      <w:r>
        <w:rPr>
          <w:rFonts w:hint="eastAsia" w:ascii="宋体" w:hAnsi="宋体" w:eastAsia="宋体" w:cs="宋体"/>
          <w:w w:val="105"/>
        </w:rPr>
        <w:t>DAB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底物反应过于强烈。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2、所用器皿必须洁净，避免含有氧化剂或还原剂，否则会产生非特异性反应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DAB</w:t>
      </w:r>
      <w:r>
        <w:rPr>
          <w:rFonts w:hint="eastAsia" w:ascii="宋体" w:hAnsi="宋体" w:eastAsia="宋体" w:cs="宋体"/>
          <w:spacing w:val="1"/>
          <w:w w:val="105"/>
        </w:rPr>
        <w:t xml:space="preserve">  </w:t>
      </w:r>
      <w:r>
        <w:rPr>
          <w:rFonts w:hint="eastAsia" w:ascii="宋体" w:hAnsi="宋体" w:eastAsia="宋体" w:cs="宋体"/>
          <w:w w:val="105"/>
        </w:rPr>
        <w:t>显色液避免反复冻融，以免显色效率下降。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DAB</w:t>
      </w:r>
      <w:r>
        <w:rPr>
          <w:rFonts w:hint="eastAsia" w:ascii="宋体" w:hAnsi="宋体" w:eastAsia="宋体" w:cs="宋体"/>
          <w:spacing w:val="1"/>
          <w:w w:val="105"/>
        </w:rPr>
        <w:t xml:space="preserve">  </w:t>
      </w:r>
      <w:r>
        <w:rPr>
          <w:rFonts w:hint="eastAsia" w:ascii="宋体" w:hAnsi="宋体" w:eastAsia="宋体" w:cs="宋体"/>
          <w:w w:val="105"/>
        </w:rPr>
        <w:t>增强剂注意密闭保存，否则显色效率下降。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个月内有效。</w:t>
      </w: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72517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-635</wp:posOffset>
              </wp:positionV>
              <wp:extent cx="1844675" cy="926465"/>
              <wp:effectExtent l="0" t="0" r="3175" b="698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69265"/>
                        <a:ext cx="1844675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.65pt;margin-top:-0.05pt;height:72.95pt;width:145.25pt;z-index:251658240;mso-width-relative:page;mso-height-relative:page;" fillcolor="#FFFFFF" filled="t" stroked="f" coordsize="21600,21600" o:gfxdata="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FEmttcAAAAJAQAADwAAAAAAAAABACAAAAAiAAAAZHJzL2Rvd25y&#10;ZXYueG1sUEsBAhQAFAAAAAgAh07iQHkMnjX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51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de-DE" w:eastAsia="de-DE" w:bidi="de-D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de-DE" w:eastAsia="de-DE" w:bidi="de-DE"/>
    </w:rPr>
  </w:style>
  <w:style w:type="paragraph" w:customStyle="1" w:styleId="12">
    <w:name w:val="Table Paragraph"/>
    <w:basedOn w:val="1"/>
    <w:qFormat/>
    <w:uiPriority w:val="1"/>
    <w:pPr>
      <w:ind w:left="185"/>
    </w:pPr>
    <w:rPr>
      <w:rFonts w:ascii="微软雅黑" w:hAnsi="微软雅黑" w:eastAsia="微软雅黑" w:cs="微软雅黑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2019-03-28T07:14:00Z</dcterms:created>
  <dc:creator>94099</dc:creator>
  <cp:lastModifiedBy>Cute  princess</cp:lastModifiedBy>
  <dcterms:modified xsi:type="dcterms:W3CDTF">2019-03-28T07:26:09Z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2019-03-28T00:00:00Z</vt:filetime>
  </property>
  <property fmtid="{D5CDD505-2E9C-101B-9397-08002B2CF9AE}" pid="5" name="KSOProductBuildVer">
    <vt:lpwstr>2052-11.1.0.8527</vt:lpwstr>
  </property>
</Properties>
</file>