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3925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2.7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3c4&#10;ydgAAAAMAQAADwAAAAAAAAABACAAAAAiAAAAZHJzL2Rvd25yZXYueG1sUEsBAhQAFAAAAAgAh07i&#10;QNmAXy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b/>
          <w:sz w:val="20"/>
        </w:rPr>
      </w:pPr>
    </w:p>
    <w:p>
      <w:pPr>
        <w:pStyle w:val="4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4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脱氧胆酸钠溶液(1%,pH7.0)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607"/>
            <w:col w:w="666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脱氧胆酸钠(Sodium deoxycholate)又称去氧胆酸钠, 分子量为 414.55，CAS 号为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302-95-4，是常用生物学试剂。脱氧胆酸钠属于离子型去污剂，可用于裂解细胞和溶解难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 w:right="1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溶于水的蛋白质。亦可用于胆汁溶菌实验其原理是胆汁或胆盐</w:t>
      </w:r>
      <w:r>
        <w:rPr>
          <w:rFonts w:hint="eastAsia" w:ascii="宋体" w:hAnsi="宋体" w:eastAsia="宋体" w:cs="宋体"/>
          <w:spacing w:val="-2"/>
        </w:rPr>
        <w:t>具有表面活性，可快速激活自</w:t>
      </w:r>
      <w:r>
        <w:rPr>
          <w:rFonts w:hint="eastAsia" w:ascii="宋体" w:hAnsi="宋体" w:eastAsia="宋体" w:cs="宋体"/>
        </w:rPr>
        <w:t>溶酶，加速了肺炎链球菌等细菌的自身溶解。琼脂平板法以菌落消失为阳性。试</w:t>
      </w:r>
      <w:r>
        <w:rPr>
          <w:rFonts w:hint="eastAsia" w:ascii="宋体" w:hAnsi="宋体" w:eastAsia="宋体" w:cs="宋体"/>
          <w:spacing w:val="-4"/>
        </w:rPr>
        <w:t>管法以加入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胆盐</w:t>
      </w:r>
      <w:r>
        <w:rPr>
          <w:rFonts w:hint="eastAsia" w:ascii="宋体" w:hAnsi="宋体" w:eastAsia="宋体" w:cs="宋体"/>
        </w:rPr>
        <w:t>的培养物变澄清，而对照管浑浊为阳性。肺炎链球菌该实验呈阳性，其他α溶血球菌(如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草绿色链球菌)呈阴性。</w:t>
      </w:r>
    </w:p>
    <w:p>
      <w:pPr>
        <w:pStyle w:val="4"/>
        <w:spacing w:before="9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spacing w:before="11"/>
        <w:rPr>
          <w:rFonts w:hint="eastAsia" w:ascii="宋体" w:hAnsi="宋体" w:eastAsia="宋体" w:cs="宋体"/>
          <w:b/>
          <w:sz w:val="15"/>
        </w:rPr>
      </w:pPr>
    </w:p>
    <w:p>
      <w:pPr>
        <w:spacing w:before="0"/>
        <w:ind w:left="5360" w:right="0" w:firstLine="0"/>
        <w:jc w:val="left"/>
        <w:rPr>
          <w:rFonts w:hint="eastAsia" w:ascii="宋体" w:hAnsi="宋体" w:eastAsia="宋体" w:cs="宋体"/>
          <w:b/>
          <w:sz w:val="19"/>
        </w:rPr>
      </w:pPr>
      <w:r>
        <w:rPr>
          <w:rFonts w:hint="eastAsia" w:ascii="宋体" w:hAnsi="宋体" w:eastAsia="宋体" w:cs="宋体"/>
          <w:b/>
          <w:sz w:val="19"/>
        </w:rPr>
        <w:t>DZ0245</w:t>
      </w:r>
    </w:p>
    <w:p>
      <w:pPr>
        <w:pStyle w:val="4"/>
        <w:spacing w:before="17"/>
        <w:rPr>
          <w:rFonts w:hint="eastAsia" w:ascii="宋体" w:hAnsi="宋体" w:eastAsia="宋体" w:cs="宋体"/>
          <w:b/>
          <w:sz w:val="12"/>
        </w:rPr>
      </w:pPr>
    </w:p>
    <w:p>
      <w:pPr>
        <w:tabs>
          <w:tab w:val="left" w:pos="3453"/>
          <w:tab w:val="left" w:pos="4580"/>
        </w:tabs>
        <w:spacing w:before="0"/>
        <w:ind w:left="0" w:right="9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脱氧胆酸钠溶液(1%,pH7.0)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4"/>
        <w:spacing w:before="15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1</w:t>
      </w:r>
      <w:r>
        <w:rPr>
          <w:rFonts w:hint="eastAsia" w:ascii="宋体" w:hAnsi="宋体" w:eastAsia="宋体" w:cs="宋体"/>
          <w:w w:val="130"/>
          <w:sz w:val="21"/>
          <w:szCs w:val="21"/>
        </w:rPr>
        <w:t>、</w:t>
      </w:r>
      <w:r>
        <w:rPr>
          <w:rFonts w:hint="eastAsia" w:ascii="宋体" w:hAnsi="宋体" w:eastAsia="宋体" w:cs="宋体"/>
          <w:w w:val="110"/>
          <w:sz w:val="21"/>
          <w:szCs w:val="21"/>
        </w:rPr>
        <w:t xml:space="preserve">按实验具体要求操作 </w:t>
      </w:r>
      <w:r>
        <w:rPr>
          <w:rFonts w:hint="eastAsia" w:ascii="宋体" w:hAnsi="宋体" w:eastAsia="宋体" w:cs="宋体"/>
          <w:w w:val="130"/>
          <w:sz w:val="21"/>
          <w:szCs w:val="21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1、如果每次的使用量很小，可以适当分装后再使用。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4"/>
        <w:rPr>
          <w:rFonts w:hint="eastAsia" w:ascii="宋体" w:hAnsi="宋体" w:eastAsia="宋体" w:cs="宋体"/>
          <w:sz w:val="20"/>
        </w:rPr>
      </w:pPr>
    </w:p>
    <w:p>
      <w:pPr>
        <w:pStyle w:val="4"/>
        <w:rPr>
          <w:rFonts w:hint="eastAsia" w:ascii="宋体" w:hAnsi="宋体" w:eastAsia="宋体" w:cs="宋体"/>
          <w:sz w:val="17"/>
        </w:rPr>
      </w:pPr>
    </w:p>
    <w:p>
      <w:pPr>
        <w:spacing w:after="0"/>
        <w:rPr>
          <w:rFonts w:hint="eastAsia" w:ascii="宋体" w:hAnsi="宋体" w:eastAsia="宋体" w:cs="宋体"/>
          <w:sz w:val="17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相关产品：</w:t>
      </w:r>
    </w:p>
    <w:p>
      <w:pPr>
        <w:pStyle w:val="4"/>
        <w:spacing w:before="2"/>
        <w:rPr>
          <w:rFonts w:ascii="Microsoft JhengHei"/>
          <w:b/>
          <w:sz w:val="25"/>
        </w:rPr>
      </w:pPr>
      <w:r>
        <w:br w:type="column"/>
      </w:r>
    </w:p>
    <w:p>
      <w:pPr>
        <w:pStyle w:val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</w:t>
      </w:r>
    </w:p>
    <w:p>
      <w:pPr>
        <w:spacing w:before="21"/>
        <w:ind w:left="220" w:leftChars="0" w:right="0" w:firstLine="0" w:firstLineChars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DC0032</w:t>
      </w:r>
    </w:p>
    <w:p>
      <w:pPr>
        <w:pStyle w:val="4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spacing w:before="193"/>
        <w:ind w:left="20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</w:t>
      </w:r>
    </w:p>
    <w:p>
      <w:pPr>
        <w:spacing w:before="24"/>
        <w:ind w:left="332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Masson三色染色液</w:t>
      </w:r>
    </w:p>
    <w:p>
      <w:pPr>
        <w:spacing w:after="0"/>
        <w:jc w:val="left"/>
        <w:rPr>
          <w:rFonts w:hint="eastAsia" w:ascii="宋体" w:hAnsi="宋体" w:eastAsia="宋体" w:cs="宋体"/>
          <w:sz w:val="19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1606" w:space="40"/>
            <w:col w:w="941" w:space="39"/>
            <w:col w:w="6294"/>
          </w:cols>
        </w:sectPr>
      </w:pPr>
    </w:p>
    <w:p>
      <w:pPr>
        <w:spacing w:before="81" w:line="333" w:lineRule="auto"/>
        <w:ind w:left="1952" w:right="0" w:firstLine="45"/>
        <w:jc w:val="both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 xml:space="preserve">DF0111 DH0006 IH0305 NR0001 </w:t>
      </w:r>
      <w:r>
        <w:rPr>
          <w:rFonts w:hint="eastAsia" w:ascii="宋体" w:hAnsi="宋体" w:eastAsia="宋体" w:cs="宋体"/>
          <w:spacing w:val="-1"/>
          <w:sz w:val="19"/>
        </w:rPr>
        <w:t xml:space="preserve">PW0040 </w:t>
      </w:r>
      <w:r>
        <w:rPr>
          <w:rFonts w:hint="eastAsia" w:ascii="宋体" w:hAnsi="宋体" w:eastAsia="宋体" w:cs="宋体"/>
          <w:sz w:val="19"/>
        </w:rPr>
        <w:t>TC1243</w:t>
      </w:r>
    </w:p>
    <w:p>
      <w:pPr>
        <w:spacing w:before="87"/>
        <w:ind w:left="314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sz w:val="19"/>
        </w:rPr>
        <w:t>中性福尔马林固定液 (10%)</w:t>
      </w:r>
    </w:p>
    <w:p>
      <w:pPr>
        <w:spacing w:before="56"/>
        <w:ind w:left="314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苏木素伊红 (HE)染色液</w:t>
      </w:r>
    </w:p>
    <w:p>
      <w:pPr>
        <w:spacing w:before="84"/>
        <w:ind w:left="314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柠檬酸钠抗原修复液 (50×)</w:t>
      </w:r>
    </w:p>
    <w:p>
      <w:pPr>
        <w:spacing w:before="74"/>
        <w:ind w:left="314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DEPC处理水 (0.1 %)</w:t>
      </w:r>
    </w:p>
    <w:p>
      <w:pPr>
        <w:spacing w:before="103"/>
        <w:ind w:left="314" w:right="0" w:firstLine="0"/>
        <w:jc w:val="left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z w:val="19"/>
        </w:rPr>
        <w:t>Western blot一抗稀释液</w:t>
      </w:r>
    </w:p>
    <w:p>
      <w:pPr>
        <w:spacing w:before="72"/>
        <w:ind w:left="314" w:right="0" w:firstLine="0"/>
        <w:jc w:val="left"/>
        <w:rPr>
          <w:rFonts w:ascii="Calibri" w:eastAsia="Calibri"/>
          <w:sz w:val="19"/>
        </w:rPr>
      </w:pPr>
      <w:r>
        <w:rPr>
          <w:rFonts w:hint="eastAsia" w:ascii="宋体" w:hAnsi="宋体" w:eastAsia="宋体" w:cs="宋体"/>
          <w:sz w:val="19"/>
        </w:rPr>
        <w:t>甘油三脂(TG)检测试剂盒 (GPO-PAP单试剂比色法 )</w:t>
      </w:r>
    </w:p>
    <w:p>
      <w:pPr>
        <w:spacing w:after="0"/>
        <w:jc w:val="left"/>
        <w:rPr>
          <w:rFonts w:ascii="Calibri" w:eastAsia="Calibri"/>
          <w:sz w:val="19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2604" w:space="40"/>
            <w:col w:w="6276"/>
          </w:cols>
        </w:sectPr>
      </w:pPr>
    </w:p>
    <w:p>
      <w:pPr>
        <w:pStyle w:val="4"/>
        <w:rPr>
          <w:rFonts w:ascii="Calibri"/>
          <w:sz w:val="20"/>
        </w:rPr>
      </w:pPr>
    </w:p>
    <w:p>
      <w:pPr>
        <w:pStyle w:val="4"/>
        <w:rPr>
          <w:rFonts w:ascii="Calibri"/>
          <w:sz w:val="20"/>
        </w:rPr>
      </w:pPr>
    </w:p>
    <w:p>
      <w:pPr>
        <w:pStyle w:val="4"/>
        <w:rPr>
          <w:rFonts w:ascii="Calibri"/>
          <w:sz w:val="20"/>
        </w:rPr>
      </w:pPr>
    </w:p>
    <w:p>
      <w:pPr>
        <w:pStyle w:val="4"/>
        <w:spacing w:before="6"/>
        <w:rPr>
          <w:rFonts w:ascii="Calibri"/>
          <w:sz w:val="16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ascii="Cambria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450933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3783330</wp:posOffset>
              </wp:positionH>
              <wp:positionV relativeFrom="paragraph">
                <wp:posOffset>-20955</wp:posOffset>
              </wp:positionV>
              <wp:extent cx="1857375" cy="876300"/>
              <wp:effectExtent l="0" t="0" r="952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0130" y="448945"/>
                        <a:ext cx="18573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9pt;margin-top:-1.65pt;height:69pt;width:146.25pt;z-index:251658240;mso-width-relative:page;mso-height-relative:page;" fillcolor="#FFFFFF" filled="t" stroked="f" coordsize="21600,21600" o:gfxdata="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mNSnQ2AAAAAoBAAAPAAAAAAAAAAEAIAAAACIAAABkcnMv&#10;ZG93bnJldi54bWxQSwECFAAUAAAACACHTuJAsdzA9soBAABUAwAADgAAAAAAAAABACAAAAAnAQAA&#10;ZHJzL2Uyb0RvYy54bWxQSwUGAAAAAAYABgBZAQAAY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26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32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2019-03-21T07:14:00Z</dcterms:created>
  <dc:creator>94099</dc:creator>
  <cp:lastModifiedBy>Cute  princess</cp:lastModifiedBy>
  <dcterms:modified xsi:type="dcterms:W3CDTF">2019-03-21T07:19:08Z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