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3"/>
        <w:spacing w:before="2"/>
        <w:rPr>
          <w:b/>
          <w:sz w:val="28"/>
        </w:rPr>
      </w:pPr>
    </w:p>
    <w:p>
      <w:pPr>
        <w:spacing w:after="0"/>
        <w:rPr>
          <w:sz w:val="28"/>
        </w:rPr>
        <w:sectPr>
          <w:headerReference r:id="rId3" w:type="default"/>
          <w:type w:val="continuous"/>
          <w:pgSz w:w="11900" w:h="16840"/>
          <w:pgMar w:top="660" w:right="520" w:bottom="280" w:left="1680" w:header="720" w:footer="720" w:gutter="0"/>
        </w:sectPr>
      </w:pPr>
    </w:p>
    <w:p>
      <w:pPr>
        <w:pStyle w:val="3"/>
        <w:spacing w:before="8"/>
        <w:rPr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tabs>
          <w:tab w:val="left" w:pos="1485"/>
        </w:tabs>
        <w:spacing w:before="0" w:line="503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CTAB</w:t>
      </w:r>
      <w:r>
        <w:rPr>
          <w:rFonts w:hint="eastAsia" w:ascii="宋体" w:hAnsi="宋体" w:eastAsia="宋体" w:cs="宋体"/>
          <w:b/>
          <w:sz w:val="30"/>
        </w:rPr>
        <w:tab/>
      </w:r>
      <w:r>
        <w:rPr>
          <w:rFonts w:hint="eastAsia" w:ascii="宋体" w:hAnsi="宋体" w:eastAsia="宋体" w:cs="宋体"/>
          <w:b/>
          <w:sz w:val="30"/>
        </w:rPr>
        <w:t>抽提液</w:t>
      </w:r>
    </w:p>
    <w:p>
      <w:pPr>
        <w:spacing w:after="0" w:line="503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520" w:bottom="280" w:left="1680" w:header="720" w:footer="720" w:gutter="0"/>
          <w:cols w:equalWidth="0" w:num="2">
            <w:col w:w="1646" w:space="1509"/>
            <w:col w:w="654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76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从植物组织中制备基因组 DNA 较常采用的方法有氯化离心法、CTAB 抽提法等。CTAB 抽提法是经典的植物 DNA 提取法，可以用于多种不同类型植物样品 DNA  的提取，获得的量很高，但是纯度一般，但是足够用于大多数分子生物学实验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ind w:left="403" w:right="387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CTAB抽提液的有效成分</w:t>
      </w:r>
      <w:r>
        <w:rPr>
          <w:rFonts w:hint="eastAsia" w:ascii="宋体" w:hAnsi="宋体" w:eastAsia="宋体" w:cs="宋体"/>
          <w:spacing w:val="28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CTAB(十六烷基三乙基溴化</w:t>
      </w:r>
      <w:r>
        <w:rPr>
          <w:rFonts w:hint="eastAsia" w:ascii="宋体" w:hAnsi="宋体" w:eastAsia="宋体" w:cs="宋体"/>
          <w:spacing w:val="38"/>
          <w:w w:val="105"/>
        </w:rPr>
        <w:t xml:space="preserve">铵 </w:t>
      </w:r>
      <w:r>
        <w:rPr>
          <w:rFonts w:hint="eastAsia" w:ascii="宋体" w:hAnsi="宋体" w:eastAsia="宋体" w:cs="宋体"/>
          <w:w w:val="105"/>
        </w:rPr>
        <w:t>)，临用前加入2-ME，使其更有效，更稳定。</w:t>
      </w:r>
    </w:p>
    <w:p>
      <w:pPr>
        <w:pStyle w:val="3"/>
        <w:spacing w:before="2"/>
        <w:rPr>
          <w:rFonts w:hint="eastAsia" w:ascii="宋体" w:hAnsi="宋体" w:eastAsia="宋体" w:cs="宋体"/>
          <w:sz w:val="26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0"/>
        </w:rPr>
      </w:pPr>
    </w:p>
    <w:p>
      <w:pPr>
        <w:pStyle w:val="3"/>
        <w:spacing w:before="1"/>
        <w:rPr>
          <w:rFonts w:ascii="Malgun Gothic"/>
          <w:b/>
          <w:sz w:val="26"/>
        </w:rPr>
      </w:pPr>
    </w:p>
    <w:p>
      <w:pPr>
        <w:spacing w:after="0"/>
        <w:rPr>
          <w:rFonts w:ascii="Malgun Gothic"/>
          <w:sz w:val="26"/>
        </w:rPr>
        <w:sectPr>
          <w:type w:val="continuous"/>
          <w:pgSz w:w="11900" w:h="16840"/>
          <w:pgMar w:top="660" w:right="520" w:bottom="280" w:left="1680" w:header="720" w:footer="720" w:gutter="0"/>
        </w:sectPr>
      </w:pP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rPr>
          <w:rFonts w:ascii="Malgun Gothic"/>
          <w:b/>
          <w:sz w:val="14"/>
        </w:rPr>
      </w:pPr>
    </w:p>
    <w:p>
      <w:pPr>
        <w:spacing w:before="1"/>
        <w:ind w:left="405" w:right="0" w:firstLine="0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自备材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料：</w:t>
      </w:r>
    </w:p>
    <w:p>
      <w:pPr>
        <w:pStyle w:val="3"/>
        <w:spacing w:before="78"/>
        <w:ind w:left="405"/>
        <w:rPr>
          <w:rFonts w:hint="eastAsia" w:ascii="Courier New" w:eastAsia="宋体"/>
          <w:lang w:val="en-US" w:eastAsia="zh-CN"/>
        </w:rPr>
      </w:pPr>
      <w:r>
        <w:br w:type="column"/>
      </w:r>
      <w:r>
        <w:rPr>
          <w:rFonts w:hint="eastAsia" w:ascii="宋体" w:eastAsia="宋体"/>
        </w:rPr>
        <w:t>试剂</w:t>
      </w:r>
      <w:r>
        <w:rPr>
          <w:rFonts w:ascii="Courier New" w:eastAsia="Courier New"/>
        </w:rPr>
        <w:t>(A): CTAB</w:t>
      </w:r>
      <w:r>
        <w:rPr>
          <w:rFonts w:hint="eastAsia" w:ascii="Courier New" w:eastAsia="宋体"/>
          <w:lang w:val="en-US" w:eastAsia="zh-CN"/>
        </w:rPr>
        <w:t>提取液</w:t>
      </w:r>
    </w:p>
    <w:p>
      <w:pPr>
        <w:pStyle w:val="3"/>
        <w:spacing w:before="111"/>
        <w:ind w:left="405"/>
        <w:rPr>
          <w:rFonts w:ascii="Courier New" w:eastAsia="Courier New"/>
        </w:rPr>
      </w:pPr>
      <w:r>
        <w:rPr>
          <w:rFonts w:hint="eastAsia" w:ascii="宋体" w:eastAsia="宋体"/>
        </w:rPr>
        <w:t>试剂</w:t>
      </w:r>
      <w:r>
        <w:rPr>
          <w:rFonts w:ascii="Courier New" w:eastAsia="Courier New"/>
        </w:rPr>
        <w:t>(B): 2-ME</w:t>
      </w:r>
    </w:p>
    <w:p>
      <w:pPr>
        <w:spacing w:before="100" w:line="456" w:lineRule="auto"/>
        <w:ind w:left="465" w:right="-20" w:hanging="60"/>
        <w:jc w:val="left"/>
        <w:rPr>
          <w:rFonts w:ascii="Courier New"/>
          <w:sz w:val="19"/>
        </w:rPr>
      </w:pPr>
      <w:r>
        <w:br w:type="column"/>
      </w:r>
      <w:r>
        <w:rPr>
          <w:rFonts w:ascii="Courier New"/>
          <w:sz w:val="19"/>
        </w:rPr>
        <w:t>500ml 10ml</w:t>
      </w:r>
    </w:p>
    <w:p>
      <w:pPr>
        <w:spacing w:before="113"/>
        <w:ind w:left="337" w:right="0" w:firstLine="0"/>
        <w:jc w:val="left"/>
        <w:rPr>
          <w:rFonts w:ascii="Courier New"/>
          <w:sz w:val="21"/>
        </w:rPr>
      </w:pPr>
      <w:r>
        <w:br w:type="column"/>
      </w:r>
      <w:r>
        <w:rPr>
          <w:rFonts w:ascii="Courier New"/>
          <w:sz w:val="21"/>
        </w:rPr>
        <w:t>RT</w:t>
      </w:r>
    </w:p>
    <w:p>
      <w:pPr>
        <w:pStyle w:val="3"/>
        <w:tabs>
          <w:tab w:val="left" w:pos="840"/>
        </w:tabs>
        <w:spacing w:before="132"/>
        <w:ind w:left="337"/>
      </w:pPr>
      <w:r>
        <w:rPr>
          <w:rFonts w:ascii="Courier New" w:eastAsia="Courier New"/>
        </w:rPr>
        <w:t>RT</w:t>
      </w:r>
      <w:r>
        <w:rPr>
          <w:rFonts w:ascii="Courier New" w:eastAsia="Courier New"/>
        </w:rPr>
        <w:tab/>
      </w:r>
      <w:r>
        <w:t>避光</w:t>
      </w:r>
    </w:p>
    <w:p>
      <w:pPr>
        <w:spacing w:after="0"/>
        <w:sectPr>
          <w:type w:val="continuous"/>
          <w:pgSz w:w="11900" w:h="16840"/>
          <w:pgMar w:top="660" w:right="520" w:bottom="280" w:left="1680" w:header="720" w:footer="720" w:gutter="0"/>
          <w:cols w:equalWidth="0" w:num="4">
            <w:col w:w="1606" w:space="47"/>
            <w:col w:w="2000" w:space="1243"/>
            <w:col w:w="976" w:space="39"/>
            <w:col w:w="378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液氮或匀浆器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8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24:1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氯仿/异戊醇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765" w:right="106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1、用液氮或干冰冷却匀浆器/粉碎器，将植物组织粉碎成细粉，将冷冻的组织转</w:t>
      </w:r>
      <w:r>
        <w:rPr>
          <w:rFonts w:hint="eastAsia" w:ascii="宋体" w:hAnsi="宋体" w:eastAsia="宋体" w:cs="宋体"/>
          <w:spacing w:val="-5"/>
        </w:rPr>
        <w:t xml:space="preserve">移到含有 </w:t>
      </w:r>
      <w:r>
        <w:rPr>
          <w:rFonts w:hint="eastAsia" w:ascii="宋体" w:hAnsi="宋体" w:eastAsia="宋体" w:cs="宋体"/>
          <w:w w:val="105"/>
        </w:rPr>
        <w:t>机溶剂的试管或烧杯中。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2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2、取适量</w:t>
      </w:r>
      <w:r>
        <w:rPr>
          <w:rFonts w:hint="eastAsia" w:ascii="宋体" w:hAnsi="宋体" w:eastAsia="宋体" w:cs="宋体"/>
          <w:spacing w:val="2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CTAB</w:t>
      </w:r>
      <w:r>
        <w:rPr>
          <w:rFonts w:hint="eastAsia" w:ascii="宋体" w:hAnsi="宋体" w:eastAsia="宋体" w:cs="宋体"/>
          <w:spacing w:val="-38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抽提液，按</w:t>
      </w:r>
      <w:r>
        <w:rPr>
          <w:rFonts w:hint="eastAsia" w:ascii="宋体" w:hAnsi="宋体" w:eastAsia="宋体" w:cs="宋体"/>
          <w:spacing w:val="30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CTAB</w:t>
      </w:r>
      <w:r>
        <w:rPr>
          <w:rFonts w:hint="eastAsia" w:ascii="宋体" w:hAnsi="宋体" w:eastAsia="宋体" w:cs="宋体"/>
          <w:spacing w:val="-38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抽提液：2-ME=50：1</w:t>
      </w:r>
      <w:r>
        <w:rPr>
          <w:rFonts w:hint="eastAsia" w:ascii="宋体" w:hAnsi="宋体" w:eastAsia="宋体" w:cs="宋体"/>
          <w:w w:val="110"/>
        </w:rPr>
        <w:tab/>
      </w:r>
      <w:r>
        <w:rPr>
          <w:rFonts w:hint="eastAsia" w:ascii="宋体" w:hAnsi="宋体" w:eastAsia="宋体" w:cs="宋体"/>
          <w:w w:val="110"/>
        </w:rPr>
        <w:t>的比例混匀，预热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ind w:left="765" w:right="28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3、向粉碎后的组织中加入预热的</w:t>
      </w:r>
      <w:r>
        <w:rPr>
          <w:rFonts w:hint="eastAsia" w:ascii="宋体" w:hAnsi="宋体" w:eastAsia="宋体" w:cs="宋体"/>
          <w:spacing w:val="1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CTAB</w:t>
      </w:r>
      <w:r>
        <w:rPr>
          <w:rFonts w:hint="eastAsia" w:ascii="宋体" w:hAnsi="宋体" w:eastAsia="宋体" w:cs="宋体"/>
          <w:spacing w:val="-5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抽提液(4ml/g)，充分混匀，65℃温育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spacing w:val="-3"/>
          <w:w w:val="105"/>
        </w:rPr>
        <w:t xml:space="preserve">10～60min， </w:t>
      </w:r>
      <w:r>
        <w:rPr>
          <w:rFonts w:hint="eastAsia" w:ascii="宋体" w:hAnsi="宋体" w:eastAsia="宋体" w:cs="宋体"/>
          <w:w w:val="105"/>
        </w:rPr>
        <w:t>并不时混匀。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0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spacing w:val="35"/>
          <w:w w:val="120"/>
        </w:rPr>
        <w:t xml:space="preserve"> </w:t>
      </w:r>
      <w:r>
        <w:rPr>
          <w:rFonts w:hint="eastAsia" w:ascii="宋体" w:hAnsi="宋体" w:eastAsia="宋体" w:cs="宋体"/>
          <w:w w:val="105"/>
        </w:rPr>
        <w:t>加入等体积</w:t>
      </w:r>
      <w:r>
        <w:rPr>
          <w:rFonts w:hint="eastAsia" w:ascii="宋体" w:hAnsi="宋体" w:eastAsia="宋体" w:cs="宋体"/>
          <w:spacing w:val="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24:1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氯仿/异戊醇，颠倒充分混匀，4℃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7500g</w:t>
      </w:r>
      <w:r>
        <w:rPr>
          <w:rFonts w:hint="eastAsia" w:ascii="宋体" w:hAnsi="宋体" w:eastAsia="宋体" w:cs="宋体"/>
          <w:spacing w:val="-1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离心</w:t>
      </w:r>
      <w:r>
        <w:rPr>
          <w:rFonts w:hint="eastAsia" w:ascii="宋体" w:hAnsi="宋体" w:eastAsia="宋体" w:cs="宋体"/>
          <w:spacing w:val="5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5min，回收上层水相。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1、如果每次的使用量很小，可以适当分装后再使用。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35"/>
        </w:rPr>
      </w:pPr>
    </w:p>
    <w:p>
      <w:pPr>
        <w:tabs>
          <w:tab w:val="left" w:pos="1652"/>
        </w:tabs>
        <w:spacing w:before="0" w:line="431" w:lineRule="exact"/>
        <w:ind w:left="405" w:right="0" w:firstLine="0"/>
        <w:jc w:val="left"/>
      </w:pPr>
      <w:r>
        <w:rPr>
          <w:rFonts w:hint="eastAsia" w:ascii="Malgun Gothic" w:eastAsia="Malgun Gothic"/>
          <w:b/>
          <w:sz w:val="24"/>
        </w:rPr>
        <w:t>有效期：</w:t>
      </w:r>
      <w:r>
        <w:rPr>
          <w:rFonts w:hint="eastAsia" w:ascii="Malgun Gothic" w:eastAsia="Malgun Gothic"/>
          <w:b/>
          <w:sz w:val="24"/>
        </w:rPr>
        <w:tab/>
      </w:r>
      <w:r>
        <w:rPr>
          <w:rFonts w:ascii="Courier New" w:eastAsia="Courier New"/>
          <w:sz w:val="21"/>
        </w:rPr>
        <w:t>24</w:t>
      </w:r>
      <w:r>
        <w:rPr>
          <w:w w:val="105"/>
        </w:rPr>
        <w:t>个月有效。</w: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4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ascii="Cambria"/>
          <w:b/>
          <w:sz w:val="18"/>
        </w:rPr>
      </w:pPr>
    </w:p>
    <w:sectPr>
      <w:type w:val="continuous"/>
      <w:pgSz w:w="11900" w:h="16840"/>
      <w:pgMar w:top="660" w:right="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35508" o:spid="_x0000_s2050" o:spt="136" type="#_x0000_t136" style="position:absolute;left:0pt;height:76.55pt;width:609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4170680</wp:posOffset>
              </wp:positionH>
              <wp:positionV relativeFrom="paragraph">
                <wp:posOffset>-8890</wp:posOffset>
              </wp:positionV>
              <wp:extent cx="1965325" cy="874395"/>
              <wp:effectExtent l="0" t="0" r="15875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237480" y="461010"/>
                        <a:ext cx="1965325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8.4pt;margin-top:-0.7pt;height:68.85pt;width:154.75pt;z-index:251658240;mso-width-relative:page;mso-height-relative:page;" fillcolor="#FFFFFF" filled="t" stroked="f" coordsize="21600,21600" o:gfxdata="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5aEwtgAAAAKAQAADwAAAAAAAAABACAAAAAiAAAAZHJzL2Rv&#10;d25yZXYueG1sUEsBAhQAFAAAAAgAh07iQEAWjDD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30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ca-ES" w:eastAsia="ca-ES" w:bidi="ca-E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ca-ES" w:eastAsia="ca-ES" w:bidi="ca-E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ca-ES" w:eastAsia="ca-ES" w:bidi="ca-E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ca-ES" w:eastAsia="ca-ES" w:bidi="ca-ES"/>
    </w:rPr>
  </w:style>
  <w:style w:type="paragraph" w:customStyle="1" w:styleId="11">
    <w:name w:val="Table Paragraph"/>
    <w:basedOn w:val="1"/>
    <w:qFormat/>
    <w:uiPriority w:val="1"/>
    <w:rPr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2019-04-18T03:51:00Z</dcterms:created>
  <dc:creator>94099</dc:creator>
  <cp:lastModifiedBy>Cute  princess</cp:lastModifiedBy>
  <dcterms:modified xsi:type="dcterms:W3CDTF">2019-04-18T03:57:33Z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2052-11.1.0.8612</vt:lpwstr>
  </property>
</Properties>
</file>