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ind w:left="0"/>
        <w:rPr>
          <w:rFonts w:ascii="Times New Roman"/>
          <w:sz w:val="20"/>
        </w:rPr>
      </w:pPr>
      <w:r>
        <mc:AlternateContent>
          <mc:Choice Requires="wps">
            <w:drawing>
              <wp:anchor distT="0" distB="0" distL="114300" distR="114300" simplePos="0" relativeHeight="251658240" behindDoc="0" locked="0" layoutInCell="1" allowOverlap="1">
                <wp:simplePos x="0" y="0"/>
                <wp:positionH relativeFrom="page">
                  <wp:posOffset>944880</wp:posOffset>
                </wp:positionH>
                <wp:positionV relativeFrom="page">
                  <wp:posOffset>1649095</wp:posOffset>
                </wp:positionV>
                <wp:extent cx="5941695" cy="2540"/>
                <wp:effectExtent l="0" t="0" r="0" b="0"/>
                <wp:wrapNone/>
                <wp:docPr id="3" name="直线 2"/>
                <wp:cNvGraphicFramePr/>
                <a:graphic xmlns:a="http://schemas.openxmlformats.org/drawingml/2006/main">
                  <a:graphicData uri="http://schemas.microsoft.com/office/word/2010/wordprocessingShape">
                    <wps:wsp>
                      <wps:cNvCnPr/>
                      <wps:spPr>
                        <a:xfrm>
                          <a:off x="944880" y="1649095"/>
                          <a:ext cx="5941695"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74.4pt;margin-top:129.85pt;height:0.2pt;width:467.85pt;mso-position-horizontal-relative:page;mso-position-vertical-relative:page;z-index:251658240;mso-width-relative:page;mso-height-relative:page;" filled="f" stroked="t" coordsize="21600,21600" o:gfxdata="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t5mx2QAAAAwB&#10;AAAPAAAAAAAAAAEAIAAAACIAAABkcnMvZG93bnJldi54bWxQSwECFAAUAAAACACHTuJAx3aojeEB&#10;AACpAwAADgAAAAAAAAABACAAAAAoAQAAZHJzL2Uyb0RvYy54bWxQSwUGAAAAAAYABgBZAQAAewUA&#10;AAAA&#10;">
                <v:fill on="f" focussize="0,0"/>
                <v:stroke color="#000000" joinstyle="round"/>
                <v:imagedata o:title=""/>
                <o:lock v:ext="edit" aspectratio="f"/>
              </v:line>
            </w:pict>
          </mc:Fallback>
        </mc:AlternateContent>
      </w:r>
    </w:p>
    <w:p>
      <w:pPr>
        <w:pStyle w:val="3"/>
        <w:spacing w:before="10"/>
        <w:ind w:left="0"/>
        <w:rPr>
          <w:rFonts w:ascii="Times New Roman"/>
          <w:sz w:val="18"/>
        </w:rPr>
      </w:pPr>
    </w:p>
    <w:p>
      <w:pPr>
        <w:pStyle w:val="3"/>
        <w:spacing w:before="3"/>
        <w:ind w:left="0"/>
        <w:rPr>
          <w:rFonts w:ascii="Times New Roman"/>
          <w:sz w:val="18"/>
        </w:rPr>
      </w:pPr>
    </w:p>
    <w:p>
      <w:pPr>
        <w:spacing w:after="0"/>
        <w:rPr>
          <w:rFonts w:ascii="Times New Roman"/>
          <w:sz w:val="18"/>
        </w:rPr>
        <w:sectPr>
          <w:headerReference r:id="rId3" w:type="default"/>
          <w:type w:val="continuous"/>
          <w:pgSz w:w="11910" w:h="16840"/>
          <w:pgMar w:top="40" w:right="1540" w:bottom="280" w:left="300" w:header="720" w:footer="720" w:gutter="0"/>
        </w:sectPr>
      </w:pPr>
    </w:p>
    <w:p>
      <w:pPr>
        <w:pStyle w:val="3"/>
        <w:spacing w:before="0"/>
        <w:ind w:left="0"/>
        <w:rPr>
          <w:rFonts w:ascii="Times New Roman"/>
          <w:sz w:val="24"/>
        </w:rPr>
      </w:pPr>
    </w:p>
    <w:p>
      <w:pPr>
        <w:pStyle w:val="3"/>
        <w:spacing w:before="1"/>
        <w:ind w:left="0"/>
        <w:rPr>
          <w:rFonts w:ascii="Times New Roman"/>
          <w:sz w:val="25"/>
        </w:rPr>
      </w:pPr>
    </w:p>
    <w:p>
      <w:pPr>
        <w:pStyle w:val="2"/>
      </w:pPr>
      <w:r>
        <w:t>产品简介：</w:t>
      </w:r>
    </w:p>
    <w:p>
      <w:pPr>
        <w:spacing w:before="58"/>
        <w:ind w:left="1498" w:right="0" w:firstLine="0"/>
        <w:jc w:val="left"/>
        <w:rPr>
          <w:b/>
          <w:sz w:val="30"/>
        </w:rPr>
      </w:pPr>
      <w:r>
        <w:br w:type="column"/>
      </w:r>
      <w:r>
        <w:rPr>
          <w:b/>
          <w:sz w:val="30"/>
        </w:rPr>
        <w:t>碱性固绿染色液</w:t>
      </w:r>
    </w:p>
    <w:p>
      <w:pPr>
        <w:spacing w:after="0"/>
        <w:jc w:val="left"/>
        <w:rPr>
          <w:sz w:val="30"/>
        </w:rPr>
        <w:sectPr>
          <w:type w:val="continuous"/>
          <w:pgSz w:w="11910" w:h="16840"/>
          <w:pgMar w:top="40" w:right="1540" w:bottom="280" w:left="300" w:header="720" w:footer="720" w:gutter="0"/>
          <w:cols w:equalWidth="0" w:num="2">
            <w:col w:w="2743" w:space="358"/>
            <w:col w:w="6969"/>
          </w:cols>
        </w:sectPr>
      </w:pPr>
    </w:p>
    <w:p>
      <w:pPr>
        <w:pStyle w:val="3"/>
        <w:spacing w:before="27" w:line="278" w:lineRule="auto"/>
        <w:ind w:right="162" w:firstLine="419"/>
      </w:pPr>
      <w:r>
        <w:rPr>
          <w:spacing w:val="-3"/>
        </w:rPr>
        <w:t>不同的氨基酸带有不同化学性质的侧链基团，有的带有碱性侧链，有的带有酸性侧链， 由此组成的蛋白质具有不同数目的碱性基团和酸性基团，这些基团会使蛋白质在不同的</w:t>
      </w:r>
      <w:r>
        <w:t xml:space="preserve">pH </w:t>
      </w:r>
      <w:r>
        <w:rPr>
          <w:spacing w:val="-3"/>
        </w:rPr>
        <w:t>溶液中带有不同的净电荷，整个蛋白质分子带正电荷多，即为碱性蛋白。</w:t>
      </w:r>
    </w:p>
    <w:p>
      <w:pPr>
        <w:pStyle w:val="3"/>
        <w:spacing w:before="0" w:line="278" w:lineRule="auto"/>
        <w:ind w:right="248" w:firstLine="419"/>
        <w:jc w:val="both"/>
      </w:pPr>
      <w:r>
        <w:rPr>
          <w:spacing w:val="-6"/>
        </w:rPr>
        <w:t>碱性固绿染色液是利用碱性蛋白质与带有负电荷的碱性染料固绿结合进行染色，细胞中</w:t>
      </w:r>
      <w:r>
        <w:rPr>
          <w:spacing w:val="-9"/>
        </w:rPr>
        <w:t>含量最为丰富的碱性蛋白为组蛋白，主要存在于细胞核中，因此染色后细胞核大部分被染成</w:t>
      </w:r>
      <w:r>
        <w:rPr>
          <w:spacing w:val="-5"/>
        </w:rPr>
        <w:t>绿色。该染色液仅用于科研领域，不宜用于临床诊断或其他用途。</w:t>
      </w:r>
    </w:p>
    <w:p>
      <w:pPr>
        <w:pStyle w:val="2"/>
        <w:spacing w:after="5" w:line="284" w:lineRule="exact"/>
      </w:pPr>
      <w:r>
        <w:rPr>
          <w:w w:val="95"/>
        </w:rPr>
        <w:t>产品组成：</w:t>
      </w:r>
    </w:p>
    <w:tbl>
      <w:tblPr>
        <w:tblStyle w:val="6"/>
        <w:tblW w:w="5530" w:type="dxa"/>
        <w:tblInd w:w="27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9"/>
        <w:gridCol w:w="1277"/>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3119" w:type="dxa"/>
          </w:tcPr>
          <w:p>
            <w:pPr>
              <w:pStyle w:val="11"/>
              <w:ind w:left="2402"/>
              <w:rPr>
                <w:b/>
                <w:sz w:val="21"/>
              </w:rPr>
            </w:pPr>
            <w:r>
              <w:rPr>
                <w:b/>
                <w:sz w:val="21"/>
              </w:rPr>
              <w:t>编号</w:t>
            </w:r>
          </w:p>
          <w:p>
            <w:pPr>
              <w:pStyle w:val="11"/>
              <w:spacing w:before="43"/>
              <w:rPr>
                <w:b/>
                <w:sz w:val="21"/>
              </w:rPr>
            </w:pPr>
            <w:r>
              <w:rPr>
                <w:b/>
                <w:sz w:val="21"/>
              </w:rPr>
              <w:t>名称</w:t>
            </w:r>
          </w:p>
        </w:tc>
        <w:tc>
          <w:tcPr>
            <w:tcW w:w="1277" w:type="dxa"/>
          </w:tcPr>
          <w:p>
            <w:pPr>
              <w:pStyle w:val="11"/>
              <w:ind w:left="318"/>
              <w:rPr>
                <w:b/>
                <w:sz w:val="21"/>
              </w:rPr>
            </w:pPr>
            <w:r>
              <w:rPr>
                <w:b/>
                <w:sz w:val="21"/>
              </w:rPr>
              <w:t>R20362</w:t>
            </w:r>
          </w:p>
          <w:p>
            <w:pPr>
              <w:pStyle w:val="11"/>
              <w:spacing w:before="43"/>
              <w:ind w:left="318"/>
              <w:rPr>
                <w:b/>
                <w:sz w:val="21"/>
              </w:rPr>
            </w:pPr>
            <w:r>
              <w:rPr>
                <w:b/>
                <w:sz w:val="21"/>
              </w:rPr>
              <w:t>2*50ml</w:t>
            </w:r>
          </w:p>
        </w:tc>
        <w:tc>
          <w:tcPr>
            <w:tcW w:w="1134" w:type="dxa"/>
          </w:tcPr>
          <w:p>
            <w:pPr>
              <w:pStyle w:val="11"/>
              <w:spacing w:before="178"/>
              <w:ind w:left="171" w:right="171"/>
              <w:jc w:val="center"/>
              <w:rPr>
                <w:b/>
                <w:sz w:val="21"/>
              </w:rPr>
            </w:pPr>
            <w:r>
              <w:rPr>
                <w:b/>
                <w:sz w:val="21"/>
              </w:rPr>
              <w:t>Storage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3119" w:type="dxa"/>
          </w:tcPr>
          <w:p>
            <w:pPr>
              <w:pStyle w:val="11"/>
              <w:spacing w:before="23"/>
              <w:rPr>
                <w:sz w:val="21"/>
              </w:rPr>
            </w:pPr>
            <w:r>
              <w:rPr>
                <w:sz w:val="21"/>
              </w:rPr>
              <w:t>试剂(A): 固绿染色液</w:t>
            </w:r>
          </w:p>
        </w:tc>
        <w:tc>
          <w:tcPr>
            <w:tcW w:w="1277" w:type="dxa"/>
          </w:tcPr>
          <w:p>
            <w:pPr>
              <w:pStyle w:val="11"/>
              <w:spacing w:before="23"/>
              <w:ind w:left="0" w:right="417"/>
              <w:jc w:val="right"/>
              <w:rPr>
                <w:sz w:val="21"/>
              </w:rPr>
            </w:pPr>
            <w:r>
              <w:rPr>
                <w:sz w:val="21"/>
              </w:rPr>
              <w:t>50ml</w:t>
            </w:r>
          </w:p>
        </w:tc>
        <w:tc>
          <w:tcPr>
            <w:tcW w:w="1134" w:type="dxa"/>
          </w:tcPr>
          <w:p>
            <w:pPr>
              <w:pStyle w:val="11"/>
              <w:spacing w:before="23"/>
              <w:ind w:left="171" w:right="168"/>
              <w:jc w:val="center"/>
              <w:rPr>
                <w:sz w:val="21"/>
              </w:rPr>
            </w:pPr>
            <w:r>
              <w:rPr>
                <w:sz w:val="21"/>
              </w:rPr>
              <w:t>RT 避光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3119" w:type="dxa"/>
          </w:tcPr>
          <w:p>
            <w:pPr>
              <w:pStyle w:val="11"/>
              <w:rPr>
                <w:sz w:val="21"/>
              </w:rPr>
            </w:pPr>
            <w:r>
              <w:rPr>
                <w:sz w:val="21"/>
              </w:rPr>
              <w:t>试剂(B): 碱性缓冲液</w:t>
            </w:r>
          </w:p>
        </w:tc>
        <w:tc>
          <w:tcPr>
            <w:tcW w:w="1277" w:type="dxa"/>
          </w:tcPr>
          <w:p>
            <w:pPr>
              <w:pStyle w:val="11"/>
              <w:ind w:left="0" w:right="417"/>
              <w:jc w:val="right"/>
              <w:rPr>
                <w:sz w:val="21"/>
              </w:rPr>
            </w:pPr>
            <w:r>
              <w:rPr>
                <w:sz w:val="21"/>
              </w:rPr>
              <w:t>50ml</w:t>
            </w:r>
          </w:p>
        </w:tc>
        <w:tc>
          <w:tcPr>
            <w:tcW w:w="1134" w:type="dxa"/>
          </w:tcPr>
          <w:p>
            <w:pPr>
              <w:pStyle w:val="11"/>
              <w:ind w:left="171" w:right="168"/>
              <w:jc w:val="center"/>
              <w:rPr>
                <w:sz w:val="21"/>
              </w:rPr>
            </w:pPr>
            <w:r>
              <w:rPr>
                <w:sz w:val="21"/>
              </w:rPr>
              <w:t>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5530" w:type="dxa"/>
            <w:gridSpan w:val="3"/>
          </w:tcPr>
          <w:p>
            <w:pPr>
              <w:pStyle w:val="11"/>
              <w:spacing w:before="25"/>
              <w:ind w:right="-15"/>
              <w:rPr>
                <w:sz w:val="21"/>
              </w:rPr>
            </w:pPr>
            <w:r>
              <w:rPr>
                <w:spacing w:val="-5"/>
                <w:sz w:val="21"/>
              </w:rPr>
              <w:t>临用前，取试剂</w:t>
            </w:r>
            <w:r>
              <w:rPr>
                <w:sz w:val="21"/>
              </w:rPr>
              <w:t>(A</w:t>
            </w:r>
            <w:r>
              <w:rPr>
                <w:spacing w:val="-8"/>
                <w:sz w:val="21"/>
              </w:rPr>
              <w:t>)、</w:t>
            </w:r>
            <w:r>
              <w:rPr>
                <w:sz w:val="21"/>
              </w:rPr>
              <w:t>(B</w:t>
            </w:r>
            <w:r>
              <w:rPr>
                <w:spacing w:val="-4"/>
                <w:sz w:val="21"/>
              </w:rPr>
              <w:t>)等量混合，即为碱性固绿染色液。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3119" w:type="dxa"/>
          </w:tcPr>
          <w:p>
            <w:pPr>
              <w:pStyle w:val="11"/>
              <w:rPr>
                <w:sz w:val="21"/>
              </w:rPr>
            </w:pPr>
            <w:r>
              <w:rPr>
                <w:sz w:val="21"/>
              </w:rPr>
              <w:t>使用说明书 1 份</w:t>
            </w:r>
          </w:p>
        </w:tc>
        <w:tc>
          <w:tcPr>
            <w:tcW w:w="2411" w:type="dxa"/>
            <w:gridSpan w:val="2"/>
          </w:tcPr>
          <w:p>
            <w:pPr>
              <w:pStyle w:val="11"/>
              <w:ind w:left="974" w:right="967"/>
              <w:jc w:val="center"/>
              <w:rPr>
                <w:sz w:val="21"/>
              </w:rPr>
            </w:pPr>
            <w:r>
              <w:rPr>
                <w:sz w:val="21"/>
              </w:rPr>
              <w:t>1 份</w:t>
            </w:r>
          </w:p>
        </w:tc>
      </w:tr>
    </w:tbl>
    <w:p>
      <w:pPr>
        <w:spacing w:before="0"/>
        <w:ind w:left="1498" w:right="0" w:firstLine="0"/>
        <w:jc w:val="left"/>
        <w:rPr>
          <w:b/>
          <w:sz w:val="24"/>
        </w:rPr>
      </w:pPr>
      <w:r>
        <w:rPr>
          <w:b/>
          <w:w w:val="95"/>
          <w:sz w:val="24"/>
        </w:rPr>
        <w:t>自备材料：</w:t>
      </w:r>
    </w:p>
    <w:p>
      <w:pPr>
        <w:pStyle w:val="3"/>
        <w:spacing w:before="27"/>
      </w:pPr>
      <w:r>
        <w:t>1、玻片</w:t>
      </w:r>
    </w:p>
    <w:p>
      <w:pPr>
        <w:pStyle w:val="3"/>
      </w:pPr>
      <w:r>
        <w:t>2、70%乙醇</w:t>
      </w:r>
    </w:p>
    <w:p>
      <w:pPr>
        <w:pStyle w:val="3"/>
      </w:pPr>
      <w:r>
        <w:t>3</w:t>
      </w:r>
      <w:r>
        <w:rPr>
          <w:spacing w:val="-2"/>
        </w:rPr>
        <w:t>、水浴锅</w:t>
      </w:r>
    </w:p>
    <w:p>
      <w:pPr>
        <w:pStyle w:val="3"/>
      </w:pPr>
      <w:r>
        <w:t>4</w:t>
      </w:r>
      <w:r>
        <w:rPr>
          <w:spacing w:val="-2"/>
        </w:rPr>
        <w:t>、显微镜</w:t>
      </w:r>
    </w:p>
    <w:p>
      <w:pPr>
        <w:spacing w:before="20"/>
        <w:ind w:left="1498" w:right="0" w:firstLine="0"/>
        <w:jc w:val="left"/>
        <w:rPr>
          <w:b/>
          <w:sz w:val="21"/>
        </w:rPr>
      </w:pPr>
      <w:r>
        <w:rPr>
          <w:b/>
          <w:sz w:val="24"/>
        </w:rPr>
        <w:t>操作步骤</w:t>
      </w:r>
      <w:r>
        <w:rPr>
          <w:sz w:val="21"/>
        </w:rPr>
        <w:t>(仅供参考)</w:t>
      </w:r>
      <w:r>
        <w:rPr>
          <w:b/>
          <w:sz w:val="21"/>
        </w:rPr>
        <w:t>：</w:t>
      </w:r>
    </w:p>
    <w:p>
      <w:pPr>
        <w:pStyle w:val="3"/>
        <w:spacing w:before="27"/>
      </w:pPr>
      <w:r>
        <w:t>1、取新鲜血液1 滴滴于载玻片一端，推片，室温晾干。</w:t>
      </w:r>
    </w:p>
    <w:p>
      <w:pPr>
        <w:pStyle w:val="3"/>
        <w:spacing w:before="44"/>
      </w:pPr>
      <w:r>
        <w:t>2、涂片浸入70%乙醇中固定5min，室温晾干。</w:t>
      </w:r>
    </w:p>
    <w:p>
      <w:pPr>
        <w:pStyle w:val="3"/>
      </w:pPr>
      <w:r>
        <w:t>3、流水充分水洗，滤纸吸去残留水分；如有需要，可入碱性缓冲液处理1-2min。</w:t>
      </w:r>
    </w:p>
    <w:p>
      <w:pPr>
        <w:pStyle w:val="3"/>
        <w:spacing w:before="42"/>
      </w:pPr>
      <w:r>
        <w:t>4、涂片浸入碱性固绿染色液染色15min。</w:t>
      </w:r>
    </w:p>
    <w:p>
      <w:pPr>
        <w:pStyle w:val="3"/>
      </w:pPr>
      <w:r>
        <w:t>5、流水冲洗，室温晾干。</w:t>
      </w:r>
    </w:p>
    <w:p>
      <w:pPr>
        <w:pStyle w:val="3"/>
      </w:pPr>
      <w:r>
        <w:t>6、直接镜检或滴加 1 滴中性树胶，加盖盖玻片进行封片观察。</w:t>
      </w:r>
    </w:p>
    <w:p>
      <w:pPr>
        <w:pStyle w:val="2"/>
        <w:spacing w:before="20" w:after="5"/>
      </w:pPr>
      <w:r>
        <w:rPr>
          <w:w w:val="95"/>
        </w:rPr>
        <w:t>染色结果：</w:t>
      </w:r>
    </w:p>
    <w:tbl>
      <w:tblPr>
        <w:tblStyle w:val="6"/>
        <w:tblW w:w="4255" w:type="dxa"/>
        <w:tblInd w:w="3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56"/>
        <w:gridCol w:w="1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456" w:type="dxa"/>
          </w:tcPr>
          <w:p>
            <w:pPr>
              <w:pStyle w:val="11"/>
              <w:ind w:left="107"/>
              <w:rPr>
                <w:sz w:val="21"/>
              </w:rPr>
            </w:pPr>
            <w:r>
              <w:rPr>
                <w:sz w:val="21"/>
              </w:rPr>
              <w:t>细胞核大部分区域</w:t>
            </w:r>
          </w:p>
        </w:tc>
        <w:tc>
          <w:tcPr>
            <w:tcW w:w="1799" w:type="dxa"/>
          </w:tcPr>
          <w:p>
            <w:pPr>
              <w:pStyle w:val="11"/>
              <w:rPr>
                <w:sz w:val="21"/>
              </w:rPr>
            </w:pPr>
            <w:r>
              <w:rPr>
                <w:sz w:val="21"/>
              </w:rPr>
              <w:t>绿色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456" w:type="dxa"/>
          </w:tcPr>
          <w:p>
            <w:pPr>
              <w:pStyle w:val="11"/>
              <w:ind w:left="107"/>
              <w:rPr>
                <w:sz w:val="21"/>
              </w:rPr>
            </w:pPr>
            <w:r>
              <w:rPr>
                <w:sz w:val="21"/>
              </w:rPr>
              <w:t>细胞质、核仁</w:t>
            </w:r>
          </w:p>
        </w:tc>
        <w:tc>
          <w:tcPr>
            <w:tcW w:w="1799" w:type="dxa"/>
          </w:tcPr>
          <w:p>
            <w:pPr>
              <w:pStyle w:val="11"/>
              <w:rPr>
                <w:sz w:val="21"/>
              </w:rPr>
            </w:pPr>
            <w:r>
              <w:rPr>
                <w:sz w:val="21"/>
              </w:rPr>
              <w:t>不着色</w:t>
            </w:r>
          </w:p>
        </w:tc>
      </w:tr>
    </w:tbl>
    <w:p>
      <w:pPr>
        <w:spacing w:before="0"/>
        <w:ind w:left="1498" w:right="0" w:firstLine="0"/>
        <w:jc w:val="left"/>
        <w:rPr>
          <w:b/>
          <w:sz w:val="24"/>
        </w:rPr>
      </w:pPr>
      <w:r>
        <w:rPr>
          <w:b/>
          <w:w w:val="95"/>
          <w:sz w:val="24"/>
        </w:rPr>
        <w:t>注意事项：</w:t>
      </w:r>
    </w:p>
    <w:p>
      <w:pPr>
        <w:pStyle w:val="3"/>
        <w:spacing w:before="27"/>
      </w:pPr>
      <w:r>
        <w:t>1、血液涂片或骨髓涂片应厚薄均匀，以免影响染色效果。</w:t>
      </w:r>
    </w:p>
    <w:p>
      <w:pPr>
        <w:pStyle w:val="3"/>
      </w:pPr>
      <w:r>
        <w:t>2、血细胞涂片染色要求新鲜全血或EDTA 抗凝血。</w:t>
      </w:r>
    </w:p>
    <w:p>
      <w:pPr>
        <w:pStyle w:val="3"/>
      </w:pPr>
      <w:r>
        <w:t>3、染色过深可用甲醇或酒精适当脱色，最好不复染。</w:t>
      </w:r>
    </w:p>
    <w:p>
      <w:pPr>
        <w:pStyle w:val="3"/>
      </w:pPr>
      <w:r>
        <w:t>4、pH 值对染色有一定影响，载玻片应清洁、无酸碱污染，以免影响染色效果。</w:t>
      </w:r>
    </w:p>
    <w:p>
      <w:pPr>
        <w:pStyle w:val="3"/>
      </w:pPr>
      <w:r>
        <w:t>5、为了您的安全和健康，请穿实验服并戴一次性手套操作。</w:t>
      </w:r>
    </w:p>
    <w:p>
      <w:pPr>
        <w:spacing w:before="20"/>
        <w:ind w:left="1498" w:right="0" w:firstLine="0"/>
        <w:jc w:val="left"/>
        <w:rPr>
          <w:sz w:val="21"/>
        </w:rPr>
      </w:pPr>
      <w:r>
        <w:rPr>
          <w:b/>
          <w:sz w:val="24"/>
        </w:rPr>
        <w:t xml:space="preserve">有效期： </w:t>
      </w:r>
      <w:r>
        <w:rPr>
          <w:sz w:val="21"/>
        </w:rPr>
        <w:t>12 个月有效。</w:t>
      </w:r>
      <w:bookmarkStart w:id="0" w:name="_GoBack"/>
      <w:bookmarkEnd w:id="0"/>
    </w:p>
    <w:p>
      <w:pPr>
        <w:pStyle w:val="3"/>
        <w:spacing w:before="0"/>
        <w:ind w:left="0"/>
        <w:rPr>
          <w:sz w:val="20"/>
        </w:rPr>
      </w:pPr>
    </w:p>
    <w:p>
      <w:pPr>
        <w:pStyle w:val="3"/>
        <w:spacing w:before="0"/>
        <w:ind w:left="0"/>
        <w:rPr>
          <w:sz w:val="20"/>
        </w:rPr>
      </w:pPr>
    </w:p>
    <w:p>
      <w:pPr>
        <w:pStyle w:val="3"/>
        <w:spacing w:before="0"/>
        <w:ind w:left="0"/>
        <w:rPr>
          <w:sz w:val="20"/>
        </w:rPr>
      </w:pPr>
    </w:p>
    <w:p>
      <w:pPr>
        <w:pStyle w:val="3"/>
        <w:spacing w:before="0"/>
        <w:ind w:left="0"/>
        <w:rPr>
          <w:sz w:val="20"/>
        </w:rPr>
      </w:pPr>
    </w:p>
    <w:p>
      <w:pPr>
        <w:pStyle w:val="3"/>
        <w:spacing w:before="0"/>
        <w:ind w:left="0"/>
        <w:rPr>
          <w:sz w:val="20"/>
        </w:rPr>
      </w:pPr>
    </w:p>
    <w:p>
      <w:pPr>
        <w:pStyle w:val="3"/>
        <w:spacing w:before="5"/>
        <w:ind w:left="0"/>
      </w:pPr>
    </w:p>
    <w:sectPr>
      <w:type w:val="continuous"/>
      <w:pgSz w:w="11910" w:h="16840"/>
      <w:pgMar w:top="40" w:right="1540" w:bottom="280" w:left="3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0" w:leftChars="0" w:firstLine="1539" w:firstLineChars="481"/>
    </w:pPr>
    <w:r>
      <w:rPr>
        <w:sz w:val="32"/>
      </w:rPr>
      <w:pict>
        <v:shape id="PowerPlusWaterMarkObject122446" o:spid="_x0000_s2050" o:spt="136" type="#_x0000_t136" style="position:absolute;left:0pt;height:79.5pt;width:632.4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4419600</wp:posOffset>
              </wp:positionH>
              <wp:positionV relativeFrom="paragraph">
                <wp:posOffset>-30480</wp:posOffset>
              </wp:positionV>
              <wp:extent cx="1952625" cy="904875"/>
              <wp:effectExtent l="0" t="0" r="9525" b="9525"/>
              <wp:wrapNone/>
              <wp:docPr id="4" name="文本框 1"/>
              <wp:cNvGraphicFramePr/>
              <a:graphic xmlns:a="http://schemas.openxmlformats.org/drawingml/2006/main">
                <a:graphicData uri="http://schemas.microsoft.com/office/word/2010/wordprocessingShape">
                  <wps:wsp>
                    <wps:cNvSpPr txBox="1"/>
                    <wps:spPr>
                      <a:xfrm>
                        <a:off x="4610100" y="439420"/>
                        <a:ext cx="1952625" cy="904875"/>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文本框 1" o:spid="_x0000_s1026" o:spt="202" type="#_x0000_t202" style="position:absolute;left:0pt;margin-left:348pt;margin-top:-2.4pt;height:71.25pt;width:153.75pt;z-index:251658240;mso-width-relative:page;mso-height-relative:page;" fillcolor="#FFFFFF" filled="t" stroked="f" coordsize="21600,21600" o:gfxdata="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KchEtgAAAALAQAADwAAAAAAAAABACAAAAAiAAAAZHJzL2Rvd25y&#10;ZXYueG1sUEsBAhQAFAAAAAgAh07iQB/QFhbFAQAAVAMAAA4AAAAAAAAAAQAgAAAAJwEAAGRycy9l&#10;Mm9Eb2MueG1sUEsFBgAAAAAGAAYAWQEAAF4FA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2" name="图片 2"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EF73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en-US"/>
    </w:rPr>
  </w:style>
  <w:style w:type="paragraph" w:styleId="2">
    <w:name w:val="heading 1"/>
    <w:basedOn w:val="1"/>
    <w:next w:val="1"/>
    <w:qFormat/>
    <w:uiPriority w:val="1"/>
    <w:pPr>
      <w:ind w:left="1498"/>
      <w:outlineLvl w:val="1"/>
    </w:pPr>
    <w:rPr>
      <w:rFonts w:ascii="宋体" w:hAnsi="宋体" w:eastAsia="宋体" w:cs="宋体"/>
      <w:b/>
      <w:bCs/>
      <w:sz w:val="24"/>
      <w:szCs w:val="24"/>
      <w:lang w:val="en-US" w:eastAsia="en-US" w:bidi="en-US"/>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pPr>
      <w:spacing w:before="43"/>
      <w:ind w:left="1498"/>
    </w:pPr>
    <w:rPr>
      <w:rFonts w:ascii="宋体" w:hAnsi="宋体" w:eastAsia="宋体" w:cs="宋体"/>
      <w:sz w:val="21"/>
      <w:szCs w:val="21"/>
      <w:lang w:val="en-US" w:eastAsia="en-US" w:bidi="en-US"/>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en-US" w:eastAsia="en-US" w:bidi="en-US"/>
    </w:rPr>
  </w:style>
  <w:style w:type="paragraph" w:customStyle="1" w:styleId="11">
    <w:name w:val="Table Paragraph"/>
    <w:basedOn w:val="1"/>
    <w:qFormat/>
    <w:uiPriority w:val="1"/>
    <w:pPr>
      <w:spacing w:before="22"/>
      <w:ind w:left="105"/>
    </w:pPr>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ScaleCrop>false</ScaleCrop>
  <LinksUpToDate>false</LinksUpToDate>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2019-07-26T02:48:00Z</dcterms:created>
  <dc:creator>番茄花园</dc:creator>
  <cp:lastModifiedBy>Cute  princess</cp:lastModifiedBy>
  <dcterms:modified xsi:type="dcterms:W3CDTF">2019-07-26T03:30:04Z</dcterms:modified>
  <dc:title>质量检验报告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2018-05-30T00:00:00Z</vt:filetime>
  </property>
  <property fmtid="{D5CDD505-2E9C-101B-9397-08002B2CF9AE}" pid="3" name="Creator">
    <vt:lpwstr>Microsoft? Office Word 2007</vt:lpwstr>
  </property>
  <property fmtid="{D5CDD505-2E9C-101B-9397-08002B2CF9AE}" pid="4" name="LastSaved">
    <vt:filetime>2019-07-26T00:00:00Z</vt:filetime>
  </property>
  <property fmtid="{D5CDD505-2E9C-101B-9397-08002B2CF9AE}" pid="5" name="KSOProductBuildVer">
    <vt:lpwstr>2052-11.1.0.8894</vt:lpwstr>
  </property>
</Properties>
</file>