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ascii="Times New Roman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ascii="Times New Roman"/>
          <w:sz w:val="20"/>
        </w:rPr>
        <w:sectPr>
          <w:headerReference r:id="rId3" w:type="default"/>
          <w:footerReference r:id="rId4" w:type="default"/>
          <w:type w:val="continuous"/>
          <w:pgSz w:w="11900" w:h="16820"/>
          <w:pgMar w:top="1660" w:right="1540" w:bottom="900" w:left="1680" w:header="741" w:footer="717" w:gutter="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ascii="Times New Roman"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ascii="Times New Roman"/>
          <w:sz w:val="3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ascii="Times New Roman"/>
          <w:sz w:val="3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b/>
          <w:bCs/>
        </w:rPr>
      </w:pPr>
      <w:r>
        <w:rPr>
          <w:b/>
          <w:bCs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7" w:line="350" w:lineRule="exact"/>
        <w:ind w:left="120" w:right="0" w:firstLine="0"/>
        <w:jc w:val="left"/>
        <w:textAlignment w:val="auto"/>
      </w:pPr>
      <w: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7" w:line="350" w:lineRule="exact"/>
        <w:ind w:left="120" w:right="0" w:firstLine="0"/>
        <w:jc w:val="left"/>
        <w:textAlignment w:val="auto"/>
        <w:rPr>
          <w:b/>
          <w:bCs/>
          <w:sz w:val="30"/>
        </w:rPr>
      </w:pPr>
      <w:r>
        <w:rPr>
          <w:b/>
          <w:bCs/>
          <w:sz w:val="30"/>
        </w:rPr>
        <w:t>精子活体染色液(伊红-苯胺黑法)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sz w:val="30"/>
        </w:rPr>
        <w:sectPr>
          <w:type w:val="continuous"/>
          <w:pgSz w:w="11900" w:h="16820"/>
          <w:pgMar w:top="1660" w:right="1540" w:bottom="900" w:left="1680" w:header="720" w:footer="720" w:gutter="0"/>
          <w:cols w:equalWidth="0" w:num="2">
            <w:col w:w="1361" w:space="810"/>
            <w:col w:w="6509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50" w:lineRule="exact"/>
        <w:ind w:left="220" w:leftChars="0" w:firstLine="420" w:firstLineChars="200"/>
        <w:textAlignment w:val="auto"/>
      </w:pPr>
      <w:r>
        <w:t xml:space="preserve"> 精子活体染色液(伊红-苯胺黑法)可以常规检测所有精子标本的存活率，通过</w:t>
      </w:r>
      <w:r>
        <w:rPr>
          <w:spacing w:val="-6"/>
        </w:rPr>
        <w:t>染料拒染法来鉴别细胞膜完整的精子，从而得出活精子的百分率。该染色液由伊红染色液、</w:t>
      </w:r>
      <w:r>
        <w:rPr>
          <w:spacing w:val="-10"/>
        </w:rPr>
        <w:t>苯胺黑染色液组成，利用染料拒染原理，即相关基于损伤的细胞膜，如在非活的(死)细胞上</w:t>
      </w:r>
      <w:r>
        <w:rPr>
          <w:spacing w:val="-8"/>
        </w:rPr>
        <w:t>的膜，允许非透过膜性染料可进入膜内染色；而活细胞的细胞膜能够抗拒染料进入，产生拒</w:t>
      </w:r>
      <w:r>
        <w:rPr>
          <w:spacing w:val="-5"/>
        </w:rPr>
        <w:t>染现象，不着色。该染色液仅适用于科研领域，不适用于临床诊断或其他用途。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6" w:line="350" w:lineRule="exact"/>
        <w:textAlignment w:val="auto"/>
        <w:rPr>
          <w:b/>
          <w:bCs/>
        </w:rPr>
      </w:pPr>
      <w:r>
        <w:rPr>
          <w:b/>
          <w:bCs/>
        </w:rPr>
        <w:t>产品组成：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5" w:line="350" w:lineRule="exact"/>
        <w:ind w:left="3717" w:right="0" w:firstLine="0"/>
        <w:jc w:val="left"/>
        <w:textAlignment w:val="auto"/>
        <w:rPr>
          <w:sz w:val="20"/>
        </w:rPr>
      </w:pPr>
      <w:r>
        <w:rPr>
          <w:sz w:val="20"/>
        </w:rPr>
        <w:t>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6617" w:right="0" w:firstLine="0"/>
        <w:jc w:val="left"/>
        <w:textAlignment w:val="auto"/>
        <w:rPr>
          <w:sz w:val="20"/>
        </w:rPr>
      </w:pPr>
      <w:r>
        <w:rPr>
          <w:spacing w:val="3"/>
          <w:sz w:val="20"/>
        </w:rPr>
        <w:t>Stora</w:t>
      </w:r>
      <w:r>
        <w:rPr>
          <w:spacing w:val="-82"/>
          <w:sz w:val="20"/>
        </w:rPr>
        <w:t xml:space="preserve"> </w:t>
      </w:r>
      <w:r>
        <w:rPr>
          <w:spacing w:val="9"/>
          <w:sz w:val="20"/>
        </w:rPr>
        <w:t>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1114" w:right="0" w:firstLine="0"/>
        <w:jc w:val="left"/>
        <w:textAlignment w:val="auto"/>
        <w:rPr>
          <w:sz w:val="20"/>
        </w:rPr>
      </w:pPr>
      <w:r>
        <w:rPr>
          <w:sz w:val="20"/>
        </w:rPr>
        <w:t>名称</w:t>
      </w:r>
    </w:p>
    <w:p>
      <w:pPr>
        <w:keepNext w:val="0"/>
        <w:keepLines w:val="0"/>
        <w:pageBreakBefore w:val="0"/>
        <w:widowControl w:val="0"/>
        <w:tabs>
          <w:tab w:val="left" w:pos="4586"/>
          <w:tab w:val="left" w:pos="5681"/>
          <w:tab w:val="left" w:pos="6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50" w:lineRule="exact"/>
        <w:ind w:left="1114" w:right="0" w:firstLine="0"/>
        <w:jc w:val="left"/>
        <w:textAlignment w:val="auto"/>
        <w:rPr>
          <w:sz w:val="21"/>
        </w:rPr>
      </w:pPr>
      <w:r>
        <w:rPr>
          <w:sz w:val="21"/>
        </w:rPr>
        <w:t>精子活体</w:t>
      </w:r>
      <w:r>
        <w:rPr>
          <w:spacing w:val="-5"/>
          <w:sz w:val="21"/>
        </w:rPr>
        <w:t>染</w:t>
      </w:r>
      <w:r>
        <w:rPr>
          <w:sz w:val="21"/>
        </w:rPr>
        <w:t>色</w:t>
      </w:r>
      <w:r>
        <w:rPr>
          <w:spacing w:val="-19"/>
          <w:sz w:val="21"/>
        </w:rPr>
        <w:t>液</w:t>
      </w:r>
      <w:r>
        <w:rPr>
          <w:spacing w:val="-10"/>
          <w:sz w:val="21"/>
        </w:rPr>
        <w:t>(</w:t>
      </w:r>
      <w:r>
        <w:rPr>
          <w:spacing w:val="-5"/>
          <w:sz w:val="21"/>
        </w:rPr>
        <w:t>伊</w:t>
      </w:r>
      <w:r>
        <w:rPr>
          <w:spacing w:val="-9"/>
          <w:sz w:val="21"/>
        </w:rPr>
        <w:t>红</w:t>
      </w:r>
      <w:r>
        <w:rPr>
          <w:spacing w:val="-5"/>
          <w:sz w:val="21"/>
        </w:rPr>
        <w:t>-苯胺</w:t>
      </w:r>
      <w:r>
        <w:rPr>
          <w:sz w:val="21"/>
        </w:rPr>
        <w:t>黑</w:t>
      </w:r>
      <w:r>
        <w:rPr>
          <w:spacing w:val="-19"/>
          <w:sz w:val="21"/>
        </w:rPr>
        <w:t>法</w:t>
      </w:r>
      <w:r>
        <w:rPr>
          <w:sz w:val="21"/>
        </w:rPr>
        <w:t>)</w:t>
      </w:r>
      <w:r>
        <w:rPr>
          <w:sz w:val="21"/>
        </w:rPr>
        <w:tab/>
      </w:r>
      <w:r>
        <w:rPr>
          <w:spacing w:val="7"/>
          <w:sz w:val="20"/>
        </w:rPr>
        <w:t>10</w:t>
      </w:r>
      <w:r>
        <w:rPr>
          <w:spacing w:val="-48"/>
          <w:sz w:val="20"/>
        </w:rPr>
        <w:t xml:space="preserve"> </w:t>
      </w:r>
      <w:r>
        <w:rPr>
          <w:sz w:val="20"/>
        </w:rPr>
        <w:t>ml</w:t>
      </w:r>
      <w:r>
        <w:rPr>
          <w:sz w:val="20"/>
        </w:rPr>
        <w:tab/>
      </w:r>
      <w:r>
        <w:rPr>
          <w:spacing w:val="7"/>
          <w:sz w:val="20"/>
        </w:rPr>
        <w:t>20</w:t>
      </w:r>
      <w:r>
        <w:rPr>
          <w:spacing w:val="-47"/>
          <w:sz w:val="20"/>
        </w:rPr>
        <w:t xml:space="preserve"> </w:t>
      </w:r>
      <w:r>
        <w:rPr>
          <w:sz w:val="20"/>
        </w:rPr>
        <w:t>ml</w:t>
      </w:r>
      <w:r>
        <w:rPr>
          <w:sz w:val="20"/>
        </w:rPr>
        <w:tab/>
      </w:r>
      <w:r>
        <w:rPr>
          <w:spacing w:val="12"/>
          <w:sz w:val="21"/>
        </w:rPr>
        <w:t>RT</w:t>
      </w:r>
      <w:r>
        <w:rPr>
          <w:spacing w:val="-81"/>
          <w:sz w:val="21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7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350" w:lineRule="exact"/>
        <w:ind w:left="1114"/>
        <w:textAlignment w:val="auto"/>
        <w:rPr>
          <w:position w:val="5"/>
        </w:rPr>
      </w:pPr>
      <w:r>
        <w:t>使用说明书</w:t>
      </w:r>
      <w:r>
        <w:tab/>
      </w:r>
      <w:r>
        <w:rPr>
          <w:position w:val="5"/>
        </w:rPr>
        <w:t>1</w:t>
      </w:r>
      <w:r>
        <w:rPr>
          <w:spacing w:val="-19"/>
          <w:position w:val="5"/>
        </w:rPr>
        <w:t xml:space="preserve"> </w:t>
      </w:r>
      <w:r>
        <w:rPr>
          <w:position w:val="5"/>
        </w:rPr>
        <w:t>份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7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350" w:lineRule="exact"/>
        <w:ind w:left="1114"/>
        <w:textAlignment w:val="auto"/>
        <w:rPr>
          <w:position w:val="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sz w:val="1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line="350" w:lineRule="exact"/>
        <w:ind w:left="120" w:right="0" w:firstLine="0"/>
        <w:jc w:val="left"/>
        <w:textAlignment w:val="auto"/>
        <w:rPr>
          <w:sz w:val="24"/>
        </w:rPr>
      </w:pPr>
      <w:r>
        <w:rPr>
          <w:b/>
          <w:bCs/>
          <w:sz w:val="24"/>
        </w:rPr>
        <w:t>操作步骤</w:t>
      </w:r>
      <w:r>
        <w:rPr>
          <w:sz w:val="21"/>
        </w:rPr>
        <w:t>(仅供参考)</w:t>
      </w:r>
      <w:r>
        <w:rPr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1" w:line="350" w:lineRule="exact"/>
        <w:ind w:left="480" w:right="238" w:hanging="361"/>
        <w:textAlignment w:val="auto"/>
      </w:pPr>
      <w:r>
        <w:rPr>
          <w:spacing w:val="5"/>
        </w:rPr>
        <w:t>1</w:t>
      </w:r>
      <w:r>
        <w:rPr>
          <w:spacing w:val="-6"/>
        </w:rPr>
        <w:t>、充分混匀精液标本：在取精液样本用于评估前，要在原取精容器中充分混匀精液，注意</w:t>
      </w:r>
      <w:r>
        <w:rPr>
          <w:spacing w:val="-3"/>
        </w:rPr>
        <w:t>过程中不要因剧烈震荡而产生气泡。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120"/>
        <w:textAlignment w:val="auto"/>
      </w:pPr>
      <w:r>
        <w:rPr>
          <w:spacing w:val="5"/>
        </w:rPr>
        <w:t>2</w:t>
      </w:r>
      <w:r>
        <w:rPr>
          <w:spacing w:val="-3"/>
        </w:rPr>
        <w:t xml:space="preserve">、取洁净小试管，滴加新鲜精液 </w:t>
      </w:r>
      <w:r>
        <w:t>1</w:t>
      </w:r>
      <w:r>
        <w:rPr>
          <w:spacing w:val="-11"/>
        </w:rPr>
        <w:t xml:space="preserve"> 滴和精子活体染色液(伊红-苯胺黑法)</w:t>
      </w:r>
      <w:r>
        <w:t>1-2</w:t>
      </w:r>
      <w:r>
        <w:rPr>
          <w:spacing w:val="-10"/>
        </w:rPr>
        <w:t xml:space="preserve"> 滴，放置 </w:t>
      </w:r>
      <w:r>
        <w:t>30～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6" w:line="350" w:lineRule="exact"/>
        <w:ind w:left="480"/>
        <w:textAlignment w:val="auto"/>
      </w:pPr>
      <w:r>
        <w:t>60s。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3" w:line="350" w:lineRule="exact"/>
        <w:ind w:left="480" w:right="216" w:hanging="361"/>
        <w:textAlignment w:val="auto"/>
      </w:pPr>
      <w:r>
        <w:rPr>
          <w:spacing w:val="5"/>
        </w:rPr>
        <w:t>3</w:t>
      </w:r>
      <w:r>
        <w:rPr>
          <w:spacing w:val="-11"/>
        </w:rPr>
        <w:t>、重复取样前，再次混匀精液标本，取精液与精子活体染色液(伊红-苯胺黑法)混合，如上</w:t>
      </w:r>
      <w:r>
        <w:rPr>
          <w:spacing w:val="-6"/>
        </w:rPr>
        <w:t xml:space="preserve">述步骤 </w:t>
      </w:r>
      <w:r>
        <w:t>2</w:t>
      </w:r>
      <w:r>
        <w:rPr>
          <w:spacing w:val="-14"/>
        </w:rPr>
        <w:t xml:space="preserve"> 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50" w:lineRule="exact"/>
        <w:ind w:left="120"/>
        <w:textAlignment w:val="auto"/>
      </w:pPr>
      <w:r>
        <w:t>4、滴加上述精液-伊红-苯胺黑染色液 1 滴于载玻片上，制成涂片。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 w:line="350" w:lineRule="exact"/>
        <w:ind w:left="120"/>
        <w:textAlignment w:val="auto"/>
      </w:pPr>
      <w:r>
        <w:t>5、晾干、镜检。油镜下观察，未着色的活精子为白色，死精子呈红色，背景呈黑色。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4" w:line="350" w:lineRule="exact"/>
        <w:ind w:left="120"/>
        <w:textAlignment w:val="auto"/>
        <w:rPr>
          <w:sz w:val="16"/>
        </w:rPr>
        <w:sectPr>
          <w:type w:val="continuous"/>
          <w:pgSz w:w="11900" w:h="16820"/>
          <w:pgMar w:top="1660" w:right="1540" w:bottom="900" w:left="1680" w:header="720" w:footer="720" w:gutter="0"/>
        </w:sectPr>
      </w:pPr>
      <w:r>
        <w:t>6、计数 200 个精子，计算未着色(活精子)占 200 个精子的百分率。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 w:leftChars="0" w:firstLine="0" w:firstLineChars="0"/>
        <w:textAlignment w:val="auto"/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b/>
          <w:bCs/>
        </w:rPr>
      </w:pPr>
      <w:r>
        <w:rPr>
          <w:b/>
          <w:bCs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9"/>
          <w:lang w:val="en-US" w:eastAsia="zh-CN"/>
        </w:rPr>
        <w:t xml:space="preserve">            </w:t>
      </w:r>
      <w:r>
        <w:rPr>
          <w:rFonts w:hint="eastAsia"/>
          <w:sz w:val="21"/>
          <w:szCs w:val="21"/>
          <w:lang w:val="en-US" w:eastAsia="zh-CN"/>
        </w:rPr>
        <w:t>活精子         不着色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死精子          红色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default" w:eastAsia="宋体"/>
          <w:sz w:val="29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背景           黑色 </w:t>
      </w:r>
      <w:r>
        <w:rPr>
          <w:rFonts w:hint="eastAsia"/>
          <w:sz w:val="29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b/>
          <w:bCs/>
        </w:rPr>
      </w:pPr>
      <w:r>
        <w:rPr>
          <w:b/>
          <w:bCs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1" w:line="350" w:lineRule="exact"/>
        <w:ind w:left="120"/>
        <w:textAlignment w:val="auto"/>
      </w:pPr>
      <w:r>
        <w:rPr>
          <w:spacing w:val="5"/>
        </w:rPr>
        <w:t>1</w:t>
      </w:r>
      <w:r>
        <w:rPr>
          <w:spacing w:val="-2"/>
        </w:rPr>
        <w:t xml:space="preserve">、精液标本一旦液化应立即检测精子存活率，最好在 </w:t>
      </w:r>
      <w:r>
        <w:t>30</w:t>
      </w:r>
      <w:r>
        <w:rPr>
          <w:spacing w:val="-54"/>
        </w:rPr>
        <w:t xml:space="preserve"> </w:t>
      </w:r>
      <w:r>
        <w:rPr>
          <w:spacing w:val="3"/>
        </w:rPr>
        <w:t>min</w:t>
      </w:r>
      <w:r>
        <w:rPr>
          <w:spacing w:val="-6"/>
        </w:rPr>
        <w:t xml:space="preserve"> 内，在任何情况下都不能超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 w:line="350" w:lineRule="exact"/>
        <w:ind w:left="480"/>
        <w:textAlignment w:val="auto"/>
      </w:pPr>
      <w:r>
        <w:t>过 1h，以免因脱水或温度变化导致精子失活而使染色检测结果不准。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sz w:val="1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120" w:right="0" w:firstLine="0"/>
        <w:jc w:val="left"/>
        <w:textAlignment w:val="auto"/>
        <w:rPr>
          <w:sz w:val="21"/>
        </w:rPr>
      </w:pPr>
      <w:r>
        <w:rPr>
          <w:b/>
          <w:bCs/>
          <w:sz w:val="24"/>
        </w:rPr>
        <w:t>有效期：</w:t>
      </w:r>
      <w:r>
        <w:rPr>
          <w:sz w:val="24"/>
        </w:rPr>
        <w:t xml:space="preserve"> </w:t>
      </w:r>
      <w:r>
        <w:rPr>
          <w:sz w:val="21"/>
        </w:rPr>
        <w:t>12 个月有效。</w:t>
      </w:r>
    </w:p>
    <w:sectPr>
      <w:pgSz w:w="11900" w:h="16820"/>
      <w:pgMar w:top="1660" w:right="1540" w:bottom="900" w:left="1680" w:header="741" w:footer="71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auto"/>
      <w:textAlignment w:val="auto"/>
      <w:rPr>
        <w:sz w:val="20"/>
      </w:rPr>
    </w:pPr>
    <w:r>
      <w:rPr>
        <w:sz w:val="32"/>
      </w:rPr>
      <w:pict>
        <v:shape id="PowerPlusWaterMarkObject41087" o:spid="_x0000_s2054" o:spt="136" type="#_x0000_t136" style="position:absolute;left:0pt;height:68.5pt;width:545.1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3716655</wp:posOffset>
              </wp:positionH>
              <wp:positionV relativeFrom="paragraph">
                <wp:posOffset>-21590</wp:posOffset>
              </wp:positionV>
              <wp:extent cx="1800225" cy="866775"/>
              <wp:effectExtent l="0" t="0" r="9525" b="9525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97755" y="448945"/>
                        <a:ext cx="180022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92.65pt;margin-top:-1.7pt;height:68.25pt;width:141.75pt;z-index:251658240;mso-width-relative:page;mso-height-relative:page;" fillcolor="#FFFFFF" filled="t" stroked="f" coordsize="21600,21600" o:gfxdata="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QbpJs2AAAAAoBAAAPAAAAAAAAAAEAIAAAACIAAABkcnMvZG93bnJl&#10;di54bWxQSwECFAAUAAAACACHTuJAx/bMb8QBAABU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96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7"/>
      <w:ind w:left="12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2019-07-12T05:57:00Z</dcterms:created>
  <dc:creator>xbany</dc:creator>
  <cp:lastModifiedBy>Cute  princess</cp:lastModifiedBy>
  <dcterms:modified xsi:type="dcterms:W3CDTF">2019-07-12T06:06:31Z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2019-07-12T00:00:00Z</vt:filetime>
  </property>
  <property fmtid="{D5CDD505-2E9C-101B-9397-08002B2CF9AE}" pid="5" name="KSOProductBuildVer">
    <vt:lpwstr>2052-11.1.0.8808</vt:lpwstr>
  </property>
</Properties>
</file>