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b/>
          <w:sz w:val="20"/>
        </w:rPr>
      </w:pPr>
    </w:p>
    <w:p>
      <w:pPr>
        <w:pStyle w:val="4"/>
        <w:ind w:left="0"/>
        <w:rPr>
          <w:b/>
          <w:sz w:val="20"/>
        </w:rPr>
      </w:pPr>
    </w:p>
    <w:p>
      <w:pPr>
        <w:pStyle w:val="4"/>
        <w:spacing w:before="7"/>
        <w:ind w:left="0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000" w:bottom="280" w:left="1680" w:header="720" w:footer="720" w:gutter="0"/>
        </w:sectPr>
      </w:pPr>
    </w:p>
    <w:p>
      <w:pPr>
        <w:pStyle w:val="4"/>
        <w:ind w:left="0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微软雅黑" w:eastAsia="微软雅黑"/>
          <w:b/>
          <w:sz w:val="30"/>
        </w:rPr>
      </w:pPr>
      <w:r>
        <w:br w:type="column"/>
      </w:r>
      <w:r>
        <w:rPr>
          <w:rFonts w:hint="eastAsia" w:ascii="宋体" w:hAnsi="宋体" w:eastAsia="宋体" w:cs="宋体"/>
          <w:b/>
          <w:sz w:val="30"/>
        </w:rPr>
        <w:t>神经 HRP 示踪显色液(TMB 法)</w:t>
      </w:r>
    </w:p>
    <w:p>
      <w:pPr>
        <w:spacing w:after="0"/>
        <w:jc w:val="left"/>
        <w:rPr>
          <w:rFonts w:hint="eastAsia" w:ascii="微软雅黑" w:eastAsia="微软雅黑"/>
          <w:sz w:val="30"/>
        </w:rPr>
        <w:sectPr>
          <w:type w:val="continuous"/>
          <w:pgSz w:w="11900" w:h="16840"/>
          <w:pgMar w:top="660" w:right="1000" w:bottom="280" w:left="1680" w:header="720" w:footer="720" w:gutter="0"/>
          <w:cols w:equalWidth="0" w:num="2">
            <w:col w:w="1646" w:space="607"/>
            <w:col w:w="6967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308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上个世</w:t>
      </w:r>
      <w:r>
        <w:rPr>
          <w:rFonts w:hint="eastAsia" w:ascii="宋体" w:hAnsi="宋体" w:eastAsia="宋体" w:cs="宋体"/>
          <w:spacing w:val="-41"/>
          <w:w w:val="105"/>
        </w:rPr>
        <w:t xml:space="preserve">纪 </w:t>
      </w:r>
      <w:r>
        <w:rPr>
          <w:rFonts w:hint="eastAsia" w:ascii="宋体" w:hAnsi="宋体" w:eastAsia="宋体" w:cs="宋体"/>
          <w:w w:val="105"/>
        </w:rPr>
        <w:t>70</w:t>
      </w:r>
      <w:r>
        <w:rPr>
          <w:rFonts w:hint="eastAsia" w:ascii="宋体" w:hAnsi="宋体" w:eastAsia="宋体" w:cs="宋体"/>
          <w:spacing w:val="-3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年代，Kristensopn</w:t>
      </w:r>
      <w:r>
        <w:rPr>
          <w:rFonts w:hint="eastAsia" w:ascii="宋体" w:hAnsi="宋体" w:eastAsia="宋体" w:cs="宋体"/>
          <w:spacing w:val="-35"/>
          <w:w w:val="105"/>
        </w:rPr>
        <w:t xml:space="preserve"> </w:t>
      </w:r>
      <w:r>
        <w:rPr>
          <w:rFonts w:hint="eastAsia" w:ascii="宋体" w:hAnsi="宋体" w:eastAsia="宋体" w:cs="宋体"/>
          <w:spacing w:val="-19"/>
          <w:w w:val="105"/>
        </w:rPr>
        <w:t xml:space="preserve">和 </w:t>
      </w:r>
      <w:r>
        <w:rPr>
          <w:rFonts w:hint="eastAsia" w:ascii="宋体" w:hAnsi="宋体" w:eastAsia="宋体" w:cs="宋体"/>
          <w:w w:val="105"/>
        </w:rPr>
        <w:t>Olsson</w:t>
      </w:r>
      <w:r>
        <w:rPr>
          <w:rFonts w:hint="eastAsia" w:ascii="宋体" w:hAnsi="宋体" w:eastAsia="宋体" w:cs="宋体"/>
          <w:spacing w:val="-3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报</w:t>
      </w:r>
      <w:r>
        <w:rPr>
          <w:rFonts w:hint="eastAsia" w:ascii="宋体" w:hAnsi="宋体" w:eastAsia="宋体" w:cs="宋体"/>
          <w:spacing w:val="-13"/>
          <w:w w:val="105"/>
        </w:rPr>
        <w:t>道了</w:t>
      </w:r>
      <w:r>
        <w:rPr>
          <w:rFonts w:hint="eastAsia" w:ascii="宋体" w:hAnsi="宋体" w:eastAsia="宋体" w:cs="宋体"/>
        </w:rPr>
        <w:t xml:space="preserve"> HRP 可神经末梢摄取，经轴浆逆行</w:t>
      </w:r>
      <w:r>
        <w:rPr>
          <w:rFonts w:hint="eastAsia" w:ascii="宋体" w:hAnsi="宋体" w:eastAsia="宋体" w:cs="宋体"/>
        </w:rPr>
        <w:t xml:space="preserve">运输至神经元胞体，经组织化学方法可显示出神经元的轮廓，从而开发出 </w:t>
      </w:r>
      <w:r>
        <w:rPr>
          <w:rFonts w:hint="eastAsia" w:ascii="宋体" w:hAnsi="宋体" w:eastAsia="宋体" w:cs="宋体"/>
        </w:rPr>
        <w:t xml:space="preserve">HRP  </w:t>
      </w:r>
      <w:r>
        <w:rPr>
          <w:rFonts w:hint="eastAsia" w:ascii="宋体" w:hAnsi="宋体" w:eastAsia="宋体" w:cs="宋体"/>
        </w:rPr>
        <w:t>追踪神经元示踪技术，即为 HRP 法。3,3',5,5'-四甲基联苯胺(TMB)是非常优越的酶免试验显色剂，能</w:t>
      </w:r>
      <w:r>
        <w:rPr>
          <w:rFonts w:hint="eastAsia" w:ascii="宋体" w:hAnsi="宋体" w:eastAsia="宋体" w:cs="宋体"/>
        </w:rPr>
        <w:t>溶解于多种有机溶剂和双蒸水中，为稳定的无色溶液，不适量过氧化脲或双氧水不缓冲液混匀后，不过氧化物酶作用产生清晰的蓝色产物，极易观察，在辣根过氧化物酶的催</w:t>
      </w:r>
      <w:r>
        <w:rPr>
          <w:rFonts w:hint="eastAsia" w:ascii="宋体" w:hAnsi="宋体" w:eastAsia="宋体" w:cs="宋体"/>
          <w:spacing w:val="5"/>
        </w:rPr>
        <w:t xml:space="preserve">化下 </w:t>
      </w:r>
      <w:r>
        <w:rPr>
          <w:rFonts w:hint="eastAsia" w:ascii="宋体" w:hAnsi="宋体" w:eastAsia="宋体" w:cs="宋体"/>
          <w:spacing w:val="15"/>
        </w:rPr>
        <w:t xml:space="preserve">, </w:t>
      </w:r>
      <w:r>
        <w:rPr>
          <w:rFonts w:hint="eastAsia" w:ascii="宋体" w:hAnsi="宋体" w:eastAsia="宋体" w:cs="宋体"/>
          <w:spacing w:val="-6"/>
        </w:rPr>
        <w:t xml:space="preserve">TMB </w:t>
      </w:r>
      <w:r>
        <w:rPr>
          <w:rFonts w:hint="eastAsia" w:ascii="宋体" w:hAnsi="宋体" w:eastAsia="宋体" w:cs="宋体"/>
        </w:rPr>
        <w:t>会产生蓝色沉淀，该沉淀不溶于水和乙醇，显色后呈蓝色，可在显微镜下观察。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351" w:firstLine="421"/>
        <w:jc w:val="both"/>
        <w:textAlignment w:val="auto"/>
      </w:pPr>
      <w:r>
        <w:rPr>
          <w:rFonts w:hint="eastAsia" w:ascii="宋体" w:hAnsi="宋体" w:eastAsia="宋体" w:cs="宋体"/>
        </w:rPr>
        <w:t>神经 HRP 示踪显色液(TMB 法)是动物经麻醉、注入 HRP 后，游离或络合型的 HRP 不氧化剂反应生成络合物，该络合物氧化供氢的 TMB 显色剂，呈蓝色，在显微镜</w:t>
      </w:r>
      <w:r>
        <w:rPr>
          <w:rFonts w:hint="eastAsia" w:ascii="宋体" w:hAnsi="宋体" w:eastAsia="宋体" w:cs="宋体"/>
        </w:rPr>
        <w:t xml:space="preserve">下清晰可见，该检测法较 </w:t>
      </w:r>
      <w:r>
        <w:rPr>
          <w:rFonts w:hint="eastAsia" w:ascii="宋体" w:hAnsi="宋体" w:eastAsia="宋体" w:cs="宋体"/>
        </w:rPr>
        <w:t xml:space="preserve">DAB  </w:t>
      </w:r>
      <w:r>
        <w:rPr>
          <w:rFonts w:hint="eastAsia" w:ascii="宋体" w:hAnsi="宋体" w:eastAsia="宋体" w:cs="宋体"/>
        </w:rPr>
        <w:t>法灵敏。该显色液仅用于科研领域，不宜用于临床诊断或其</w:t>
      </w:r>
      <w:r>
        <w:rPr>
          <w:rFonts w:hint="eastAsia" w:ascii="宋体" w:hAnsi="宋体" w:eastAsia="宋体" w:cs="宋体"/>
          <w:w w:val="105"/>
        </w:rPr>
        <w:t>他用途。</w:t>
      </w:r>
    </w:p>
    <w:p>
      <w:pPr>
        <w:pStyle w:val="4"/>
        <w:ind w:left="0"/>
        <w:rPr>
          <w:sz w:val="20"/>
        </w:rPr>
      </w:pPr>
    </w:p>
    <w:p>
      <w:pPr>
        <w:pStyle w:val="4"/>
        <w:spacing w:before="4"/>
        <w:ind w:left="0"/>
        <w:rPr>
          <w:sz w:val="22"/>
        </w:rPr>
      </w:pPr>
    </w:p>
    <w:tbl>
      <w:tblPr>
        <w:tblStyle w:val="7"/>
        <w:tblW w:w="7154" w:type="dxa"/>
        <w:tblInd w:w="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4"/>
        <w:gridCol w:w="1213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614" w:type="dxa"/>
          </w:tcPr>
          <w:p>
            <w:pPr>
              <w:pStyle w:val="12"/>
              <w:spacing w:line="328" w:lineRule="exact"/>
              <w:ind w:left="50"/>
              <w:rPr>
                <w:rFonts w:hint="eastAsia" w:ascii="Malgun Gothic" w:eastAsia="Malgun Gothic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产品组成：</w:t>
            </w:r>
          </w:p>
        </w:tc>
        <w:tc>
          <w:tcPr>
            <w:tcW w:w="121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61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>
            <w:pPr>
              <w:pStyle w:val="12"/>
              <w:spacing w:before="7"/>
              <w:rPr>
                <w:rFonts w:ascii="MS UI Gothic"/>
                <w:sz w:val="18"/>
              </w:rPr>
            </w:pPr>
          </w:p>
          <w:p>
            <w:pPr>
              <w:pStyle w:val="12"/>
              <w:ind w:left="191" w:right="139"/>
              <w:jc w:val="center"/>
              <w:rPr>
                <w:sz w:val="19"/>
              </w:rPr>
            </w:pPr>
            <w:r>
              <w:rPr>
                <w:sz w:val="19"/>
              </w:rPr>
              <w:t>50T</w:t>
            </w:r>
          </w:p>
        </w:tc>
        <w:tc>
          <w:tcPr>
            <w:tcW w:w="13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14" w:type="dxa"/>
          </w:tcPr>
          <w:p>
            <w:pPr>
              <w:pStyle w:val="12"/>
              <w:spacing w:before="19" w:line="363" w:lineRule="exact"/>
              <w:ind w:left="1282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(A): TMB assay buffer</w:t>
            </w:r>
          </w:p>
        </w:tc>
        <w:tc>
          <w:tcPr>
            <w:tcW w:w="1213" w:type="dxa"/>
          </w:tcPr>
          <w:p>
            <w:pPr>
              <w:pStyle w:val="12"/>
              <w:spacing w:before="46" w:line="337" w:lineRule="exact"/>
              <w:ind w:left="191" w:right="166"/>
              <w:jc w:val="center"/>
              <w:rPr>
                <w:sz w:val="19"/>
              </w:rPr>
            </w:pPr>
            <w:r>
              <w:rPr>
                <w:sz w:val="19"/>
              </w:rPr>
              <w:t>2×500ml</w:t>
            </w:r>
          </w:p>
        </w:tc>
        <w:tc>
          <w:tcPr>
            <w:tcW w:w="1327" w:type="dxa"/>
          </w:tcPr>
          <w:p>
            <w:pPr>
              <w:pStyle w:val="12"/>
              <w:spacing w:before="19" w:line="363" w:lineRule="exact"/>
              <w:ind w:left="185"/>
              <w:rPr>
                <w:rFonts w:hint="eastAsia" w:ascii="MS UI Gothic" w:eastAsia="MS UI Gothic"/>
                <w:sz w:val="21"/>
              </w:rPr>
            </w:pPr>
            <w:r>
              <w:rPr>
                <w:sz w:val="21"/>
              </w:rPr>
              <w:t xml:space="preserve">RT </w:t>
            </w:r>
            <w:r>
              <w:rPr>
                <w:rFonts w:hint="eastAsia" w:ascii="MS UI Gothic" w:eastAsia="MS UI Gothic"/>
                <w:sz w:val="21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614" w:type="dxa"/>
          </w:tcPr>
          <w:p>
            <w:pPr>
              <w:pStyle w:val="12"/>
              <w:spacing w:line="372" w:lineRule="exact"/>
              <w:ind w:left="1282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 xml:space="preserve">(B): TMB  </w:t>
            </w:r>
            <w:r>
              <w:rPr>
                <w:rFonts w:hint="eastAsia" w:ascii="宋体" w:eastAsia="宋体"/>
                <w:sz w:val="21"/>
              </w:rPr>
              <w:t>显</w:t>
            </w:r>
            <w:r>
              <w:rPr>
                <w:rFonts w:hint="eastAsia" w:ascii="MS UI Gothic" w:eastAsia="MS UI Gothic"/>
                <w:sz w:val="21"/>
              </w:rPr>
              <w:t>色液</w:t>
            </w:r>
          </w:p>
        </w:tc>
        <w:tc>
          <w:tcPr>
            <w:tcW w:w="1213" w:type="dxa"/>
          </w:tcPr>
          <w:p>
            <w:pPr>
              <w:pStyle w:val="12"/>
              <w:spacing w:before="18"/>
              <w:ind w:left="188" w:right="166"/>
              <w:jc w:val="center"/>
              <w:rPr>
                <w:sz w:val="19"/>
              </w:rPr>
            </w:pPr>
            <w:r>
              <w:rPr>
                <w:sz w:val="19"/>
              </w:rPr>
              <w:t>30ml</w:t>
            </w:r>
          </w:p>
        </w:tc>
        <w:tc>
          <w:tcPr>
            <w:tcW w:w="1327" w:type="dxa"/>
          </w:tcPr>
          <w:p>
            <w:pPr>
              <w:pStyle w:val="12"/>
              <w:spacing w:line="372" w:lineRule="exact"/>
              <w:ind w:left="185"/>
              <w:rPr>
                <w:rFonts w:hint="eastAsia" w:ascii="MS UI Gothic" w:hAnsi="MS UI Gothic" w:eastAsia="MS UI Gothic"/>
                <w:sz w:val="21"/>
              </w:rPr>
            </w:pPr>
            <w:r>
              <w:rPr>
                <w:sz w:val="21"/>
              </w:rPr>
              <w:t xml:space="preserve">-20℃ </w:t>
            </w:r>
            <w:r>
              <w:rPr>
                <w:rFonts w:hint="eastAsia" w:ascii="MS UI Gothic" w:hAnsi="MS UI Gothic" w:eastAsia="MS UI Gothic"/>
                <w:sz w:val="21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614" w:type="dxa"/>
          </w:tcPr>
          <w:p>
            <w:pPr>
              <w:pStyle w:val="12"/>
              <w:spacing w:before="9"/>
              <w:ind w:left="128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 xml:space="preserve">(C): TMB  </w:t>
            </w:r>
            <w:r>
              <w:rPr>
                <w:rFonts w:hint="eastAsia" w:ascii="MS UI Gothic" w:eastAsia="MS UI Gothic"/>
                <w:sz w:val="21"/>
              </w:rPr>
              <w:t>增</w:t>
            </w:r>
            <w:r>
              <w:rPr>
                <w:rFonts w:hint="eastAsia" w:ascii="宋体" w:eastAsia="宋体"/>
                <w:sz w:val="21"/>
              </w:rPr>
              <w:t>强剂</w:t>
            </w:r>
          </w:p>
        </w:tc>
        <w:tc>
          <w:tcPr>
            <w:tcW w:w="1213" w:type="dxa"/>
          </w:tcPr>
          <w:p>
            <w:pPr>
              <w:pStyle w:val="12"/>
              <w:spacing w:before="61" w:line="349" w:lineRule="exact"/>
              <w:ind w:left="179" w:right="166"/>
              <w:jc w:val="center"/>
              <w:rPr>
                <w:sz w:val="19"/>
              </w:rPr>
            </w:pPr>
            <w:r>
              <w:rPr>
                <w:sz w:val="19"/>
              </w:rPr>
              <w:t>2×1ml</w:t>
            </w:r>
          </w:p>
        </w:tc>
        <w:tc>
          <w:tcPr>
            <w:tcW w:w="1327" w:type="dxa"/>
          </w:tcPr>
          <w:p>
            <w:pPr>
              <w:pStyle w:val="12"/>
              <w:spacing w:before="9"/>
              <w:ind w:left="185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614" w:type="dxa"/>
          </w:tcPr>
          <w:p>
            <w:pPr>
              <w:pStyle w:val="12"/>
              <w:spacing w:before="25" w:line="312" w:lineRule="exact"/>
              <w:ind w:left="1282"/>
              <w:rPr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试剂</w:t>
            </w:r>
            <w:r>
              <w:rPr>
                <w:sz w:val="21"/>
              </w:rPr>
              <w:t>(D): TMB Wash buffer(20×)</w:t>
            </w:r>
          </w:p>
        </w:tc>
        <w:tc>
          <w:tcPr>
            <w:tcW w:w="1213" w:type="dxa"/>
          </w:tcPr>
          <w:p>
            <w:pPr>
              <w:pStyle w:val="12"/>
              <w:spacing w:before="19" w:line="319" w:lineRule="exact"/>
              <w:ind w:left="152" w:right="166"/>
              <w:jc w:val="center"/>
              <w:rPr>
                <w:sz w:val="19"/>
              </w:rPr>
            </w:pPr>
            <w:r>
              <w:rPr>
                <w:sz w:val="19"/>
              </w:rPr>
              <w:t>100ml</w:t>
            </w:r>
          </w:p>
        </w:tc>
        <w:tc>
          <w:tcPr>
            <w:tcW w:w="1327" w:type="dxa"/>
          </w:tcPr>
          <w:p>
            <w:pPr>
              <w:pStyle w:val="12"/>
              <w:spacing w:before="25" w:line="312" w:lineRule="exact"/>
              <w:ind w:left="185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</w:tbl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0"/>
        </w:rPr>
      </w:pPr>
    </w:p>
    <w:p>
      <w:pPr>
        <w:pStyle w:val="4"/>
        <w:spacing w:before="5"/>
        <w:ind w:left="0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(一)、准备工作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动物麻醉：多用(3.5%)戊巴比妥钠作为麻醉剂，大鼠的麻醉剂量为 0.25-0.35ml/100g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导入 HRP：有压力注射法、电泳法以及周围神经系统的注射涂抹等法。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3、确定动物存活期。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3" w:right="346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动物灌注：麻醉后，经左心室升主动脉插管行心内灌注固定。先用生理盐</w:t>
      </w:r>
      <w:r>
        <w:rPr>
          <w:rFonts w:hint="eastAsia" w:ascii="宋体" w:hAnsi="宋体" w:eastAsia="宋体" w:cs="宋体"/>
          <w:spacing w:val="-13"/>
          <w:w w:val="105"/>
        </w:rPr>
        <w:t xml:space="preserve">水或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spacing w:val="-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快速</w:t>
      </w:r>
      <w:r>
        <w:rPr>
          <w:rFonts w:hint="eastAsia" w:ascii="宋体" w:hAnsi="宋体" w:eastAsia="宋体" w:cs="宋体"/>
          <w:spacing w:val="-6"/>
          <w:w w:val="105"/>
        </w:rPr>
        <w:t xml:space="preserve">灌注。随后用 </w:t>
      </w:r>
      <w:r>
        <w:rPr>
          <w:rFonts w:hint="eastAsia" w:ascii="宋体" w:hAnsi="宋体" w:eastAsia="宋体" w:cs="宋体"/>
          <w:w w:val="105"/>
        </w:rPr>
        <w:t>4%的多聚甲醛固定液灌注，先快后慢，时间</w:t>
      </w:r>
      <w:r>
        <w:rPr>
          <w:rFonts w:hint="eastAsia" w:ascii="宋体" w:hAnsi="宋体" w:eastAsia="宋体" w:cs="宋体"/>
          <w:spacing w:val="-9"/>
          <w:w w:val="105"/>
        </w:rPr>
        <w:t xml:space="preserve">控制在 </w:t>
      </w:r>
      <w:r>
        <w:rPr>
          <w:rFonts w:hint="eastAsia" w:ascii="宋体" w:hAnsi="宋体" w:eastAsia="宋体" w:cs="宋体"/>
          <w:w w:val="105"/>
        </w:rPr>
        <w:t>30-40min</w:t>
      </w:r>
      <w:r>
        <w:rPr>
          <w:rFonts w:hint="eastAsia" w:ascii="宋体" w:hAnsi="宋体" w:eastAsia="宋体" w:cs="宋体"/>
          <w:spacing w:val="-1"/>
          <w:w w:val="105"/>
        </w:rPr>
        <w:t xml:space="preserve">。最后用 </w:t>
      </w:r>
      <w:r>
        <w:rPr>
          <w:rFonts w:hint="eastAsia" w:ascii="宋体" w:hAnsi="宋体" w:eastAsia="宋体" w:cs="宋体"/>
          <w:w w:val="105"/>
        </w:rPr>
        <w:t>10% 蔗糖磷酸缓冲液(pH7.4)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403" w:right="428"/>
        <w:jc w:val="both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 xml:space="preserve">5、取材：取组织置于 </w:t>
      </w:r>
      <w:r>
        <w:rPr>
          <w:rFonts w:hint="eastAsia" w:ascii="宋体" w:hAnsi="宋体" w:eastAsia="宋体" w:cs="宋体"/>
          <w:w w:val="105"/>
        </w:rPr>
        <w:t xml:space="preserve">20%的蔗糖磷酸盐缓冲液中，切片厚度 </w:t>
      </w:r>
      <w:r>
        <w:rPr>
          <w:rFonts w:hint="eastAsia" w:ascii="宋体" w:hAnsi="宋体" w:eastAsia="宋体" w:cs="宋体"/>
          <w:w w:val="105"/>
        </w:rPr>
        <w:t>40μm，存于蔗糖磷酸盐缓冲液备用。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(二)、显色反应</w:t>
      </w:r>
    </w:p>
    <w:p>
      <w:pPr>
        <w:pStyle w:val="4"/>
        <w:spacing w:before="9"/>
        <w:ind w:left="0"/>
        <w:rPr>
          <w:rFonts w:ascii="Microsoft JhengHei"/>
          <w:b/>
          <w:sz w:val="24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ascii="Cambria"/>
          <w:b/>
          <w:color w:val="008040"/>
          <w:sz w:val="18"/>
        </w:rPr>
      </w:pP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40"/>
          <w:pgMar w:top="660" w:right="1000" w:bottom="280" w:left="1680" w:header="720" w:footer="720" w:gutter="0"/>
        </w:sectPr>
      </w:pPr>
      <w:bookmarkStart w:id="0" w:name="_GoBack"/>
      <w:bookmarkEnd w:id="0"/>
    </w:p>
    <w:p>
      <w:pPr>
        <w:pStyle w:val="4"/>
        <w:spacing w:before="8"/>
        <w:ind w:left="0"/>
        <w:rPr>
          <w:rFonts w:ascii="Cambria"/>
          <w:b/>
          <w:sz w:val="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right="5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3"/>
          <w:w w:val="105"/>
        </w:rPr>
        <w:t xml:space="preserve">、配制 </w:t>
      </w:r>
      <w:r>
        <w:rPr>
          <w:rFonts w:hint="eastAsia" w:ascii="宋体" w:hAnsi="宋体" w:eastAsia="宋体" w:cs="宋体"/>
          <w:w w:val="105"/>
        </w:rPr>
        <w:t>TMB 孵育液：取</w:t>
      </w:r>
      <w:r>
        <w:rPr>
          <w:rFonts w:hint="eastAsia" w:ascii="宋体" w:hAnsi="宋体" w:eastAsia="宋体" w:cs="宋体"/>
          <w:spacing w:val="-3"/>
          <w:w w:val="105"/>
        </w:rPr>
        <w:t xml:space="preserve">适量的 </w:t>
      </w:r>
      <w:r>
        <w:rPr>
          <w:rFonts w:hint="eastAsia" w:ascii="宋体" w:hAnsi="宋体" w:eastAsia="宋体" w:cs="宋体"/>
          <w:w w:val="105"/>
        </w:rPr>
        <w:t xml:space="preserve">TMB assay buffer </w:t>
      </w:r>
      <w:r>
        <w:rPr>
          <w:rFonts w:hint="eastAsia" w:ascii="宋体" w:hAnsi="宋体" w:eastAsia="宋体" w:cs="宋体"/>
          <w:spacing w:val="-6"/>
          <w:w w:val="105"/>
        </w:rPr>
        <w:t xml:space="preserve">和 </w:t>
      </w:r>
      <w:r>
        <w:rPr>
          <w:rFonts w:hint="eastAsia" w:ascii="宋体" w:hAnsi="宋体" w:eastAsia="宋体" w:cs="宋体"/>
          <w:w w:val="105"/>
        </w:rPr>
        <w:t>TMB 显</w:t>
      </w:r>
      <w:r>
        <w:rPr>
          <w:rFonts w:hint="eastAsia" w:ascii="宋体" w:hAnsi="宋体" w:eastAsia="宋体" w:cs="宋体"/>
          <w:spacing w:val="-2"/>
          <w:w w:val="105"/>
        </w:rPr>
        <w:t xml:space="preserve">色液，按 </w:t>
      </w:r>
      <w:r>
        <w:rPr>
          <w:rFonts w:hint="eastAsia" w:ascii="宋体" w:hAnsi="宋体" w:eastAsia="宋体" w:cs="宋体"/>
          <w:w w:val="105"/>
        </w:rPr>
        <w:t>TMB assay buffer： TMB 显色液=39:1 的比例混合，即</w:t>
      </w:r>
      <w:r>
        <w:rPr>
          <w:rFonts w:hint="eastAsia" w:ascii="宋体" w:hAnsi="宋体" w:eastAsia="宋体" w:cs="宋体"/>
          <w:spacing w:val="-25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TMB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孵育液，即配即用，不宜保存。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50" w:lineRule="exact"/>
        <w:ind w:right="402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3"/>
          <w:w w:val="105"/>
        </w:rPr>
        <w:t xml:space="preserve">、配制 </w:t>
      </w:r>
      <w:r>
        <w:rPr>
          <w:rFonts w:hint="eastAsia" w:ascii="宋体" w:hAnsi="宋体" w:eastAsia="宋体" w:cs="宋体"/>
          <w:w w:val="105"/>
        </w:rPr>
        <w:t>TMB 显色工作液：取</w:t>
      </w:r>
      <w:r>
        <w:rPr>
          <w:rFonts w:hint="eastAsia" w:ascii="宋体" w:hAnsi="宋体" w:eastAsia="宋体" w:cs="宋体"/>
          <w:spacing w:val="-3"/>
          <w:w w:val="105"/>
        </w:rPr>
        <w:t xml:space="preserve">适量的 </w:t>
      </w:r>
      <w:r>
        <w:rPr>
          <w:rFonts w:hint="eastAsia" w:ascii="宋体" w:hAnsi="宋体" w:eastAsia="宋体" w:cs="宋体"/>
          <w:w w:val="105"/>
        </w:rPr>
        <w:t xml:space="preserve">TMB </w:t>
      </w:r>
      <w:r>
        <w:rPr>
          <w:rFonts w:hint="eastAsia" w:ascii="宋体" w:hAnsi="宋体" w:eastAsia="宋体" w:cs="宋体"/>
          <w:spacing w:val="-2"/>
          <w:w w:val="105"/>
        </w:rPr>
        <w:t xml:space="preserve">孵育液和 </w:t>
      </w:r>
      <w:r>
        <w:rPr>
          <w:rFonts w:hint="eastAsia" w:ascii="宋体" w:hAnsi="宋体" w:eastAsia="宋体" w:cs="宋体"/>
          <w:w w:val="105"/>
        </w:rPr>
        <w:t>TMB 增强剂</w:t>
      </w:r>
      <w:r>
        <w:rPr>
          <w:rFonts w:hint="eastAsia" w:ascii="宋体" w:hAnsi="宋体" w:eastAsia="宋体" w:cs="宋体"/>
          <w:spacing w:val="-3"/>
          <w:w w:val="105"/>
        </w:rPr>
        <w:t xml:space="preserve">，按 </w:t>
      </w:r>
      <w:r>
        <w:rPr>
          <w:rFonts w:hint="eastAsia" w:ascii="宋体" w:hAnsi="宋体" w:eastAsia="宋体" w:cs="宋体"/>
          <w:w w:val="105"/>
        </w:rPr>
        <w:t xml:space="preserve">TMB 孵育液：TMB </w:t>
      </w:r>
      <w:r>
        <w:rPr>
          <w:rFonts w:hint="eastAsia" w:ascii="宋体" w:hAnsi="宋体" w:eastAsia="宋体" w:cs="宋体"/>
        </w:rPr>
        <w:t>增强剂=2000～8000：1 的比例混合(具体比例应根据具体时间摸索确定)，即</w:t>
      </w:r>
      <w:r>
        <w:rPr>
          <w:rFonts w:hint="eastAsia" w:ascii="宋体" w:hAnsi="宋体" w:eastAsia="宋体" w:cs="宋体"/>
          <w:spacing w:val="-3"/>
        </w:rPr>
        <w:t xml:space="preserve">为 </w:t>
      </w:r>
      <w:r>
        <w:rPr>
          <w:rFonts w:hint="eastAsia" w:ascii="宋体" w:hAnsi="宋体" w:eastAsia="宋体" w:cs="宋体"/>
        </w:rPr>
        <w:t>TMB 显色</w:t>
      </w:r>
      <w:r>
        <w:rPr>
          <w:rFonts w:hint="eastAsia" w:ascii="宋体" w:hAnsi="宋体" w:eastAsia="宋体" w:cs="宋体"/>
          <w:w w:val="105"/>
        </w:rPr>
        <w:t>工作液，即配即用，不宜保存。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3" w:line="350" w:lineRule="exact"/>
        <w:ind w:right="8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-4"/>
          <w:w w:val="105"/>
        </w:rPr>
        <w:t xml:space="preserve">、配制 </w:t>
      </w:r>
      <w:r>
        <w:rPr>
          <w:rFonts w:hint="eastAsia" w:ascii="宋体" w:hAnsi="宋体" w:eastAsia="宋体" w:cs="宋体"/>
          <w:w w:val="105"/>
        </w:rPr>
        <w:t>1×TMB Wash buffer：取</w:t>
      </w:r>
      <w:r>
        <w:rPr>
          <w:rFonts w:hint="eastAsia" w:ascii="宋体" w:hAnsi="宋体" w:eastAsia="宋体" w:cs="宋体"/>
          <w:spacing w:val="-4"/>
          <w:w w:val="105"/>
        </w:rPr>
        <w:t xml:space="preserve">适量的 </w:t>
      </w:r>
      <w:r>
        <w:rPr>
          <w:rFonts w:hint="eastAsia" w:ascii="宋体" w:hAnsi="宋体" w:eastAsia="宋体" w:cs="宋体"/>
          <w:w w:val="105"/>
        </w:rPr>
        <w:t>TMB Wash buffer(20×)</w:t>
      </w:r>
      <w:r>
        <w:rPr>
          <w:rFonts w:hint="eastAsia" w:ascii="宋体" w:hAnsi="宋体" w:eastAsia="宋体" w:cs="宋体"/>
          <w:spacing w:val="-4"/>
          <w:w w:val="105"/>
        </w:rPr>
        <w:t xml:space="preserve">，按 </w:t>
      </w:r>
      <w:r>
        <w:rPr>
          <w:rFonts w:hint="eastAsia" w:ascii="宋体" w:hAnsi="宋体" w:eastAsia="宋体" w:cs="宋体"/>
          <w:w w:val="105"/>
        </w:rPr>
        <w:t>TMB Wash buffer： 蒸馏水=1:19 的比例混合，即</w:t>
      </w:r>
      <w:r>
        <w:rPr>
          <w:rFonts w:hint="eastAsia" w:ascii="宋体" w:hAnsi="宋体" w:eastAsia="宋体" w:cs="宋体"/>
          <w:spacing w:val="-26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1×TMB Wash buffer。室温保存，6</w:t>
      </w:r>
      <w:r>
        <w:rPr>
          <w:rFonts w:hint="eastAsia" w:ascii="宋体" w:hAnsi="宋体" w:eastAsia="宋体" w:cs="宋体"/>
          <w:spacing w:val="5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月有效。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4、切片用蒸馏水清洗 3 次，每次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5、切片入 10ml TMB 孵育液(提前 20℃温育)，避光孵育 20min，其间不断晃动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42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spacing w:val="-6"/>
          <w:w w:val="105"/>
        </w:rPr>
        <w:t xml:space="preserve">、切片入 </w:t>
      </w:r>
      <w:r>
        <w:rPr>
          <w:rFonts w:hint="eastAsia" w:ascii="宋体" w:hAnsi="宋体" w:eastAsia="宋体" w:cs="宋体"/>
          <w:w w:val="105"/>
        </w:rPr>
        <w:t>10ml TMB 显色工作液(</w:t>
      </w:r>
      <w:r>
        <w:rPr>
          <w:rFonts w:hint="eastAsia" w:ascii="宋体" w:hAnsi="宋体" w:eastAsia="宋体" w:cs="宋体"/>
          <w:spacing w:val="-9"/>
          <w:w w:val="105"/>
        </w:rPr>
        <w:t xml:space="preserve">提前 </w:t>
      </w:r>
      <w:r>
        <w:rPr>
          <w:rFonts w:hint="eastAsia" w:ascii="宋体" w:hAnsi="宋体" w:eastAsia="宋体" w:cs="宋体"/>
          <w:w w:val="105"/>
        </w:rPr>
        <w:t>20℃温育)</w:t>
      </w:r>
      <w:r>
        <w:rPr>
          <w:rFonts w:hint="eastAsia" w:ascii="宋体" w:hAnsi="宋体" w:eastAsia="宋体" w:cs="宋体"/>
          <w:spacing w:val="-5"/>
          <w:w w:val="105"/>
        </w:rPr>
        <w:t xml:space="preserve">，避光孵育 </w:t>
      </w:r>
      <w:r>
        <w:rPr>
          <w:rFonts w:hint="eastAsia" w:ascii="宋体" w:hAnsi="宋体" w:eastAsia="宋体" w:cs="宋体"/>
          <w:w w:val="105"/>
        </w:rPr>
        <w:t>20min，其间不断晃动。</w:t>
      </w:r>
      <w:r>
        <w:rPr>
          <w:rFonts w:hint="eastAsia" w:ascii="宋体" w:hAnsi="宋体" w:eastAsia="宋体" w:cs="宋体"/>
          <w:w w:val="110"/>
        </w:rPr>
        <w:t>7、漂洗：</w:t>
      </w:r>
      <w:r>
        <w:rPr>
          <w:rFonts w:hint="eastAsia" w:ascii="宋体" w:hAnsi="宋体" w:eastAsia="宋体" w:cs="宋体"/>
          <w:spacing w:val="-37"/>
          <w:w w:val="110"/>
        </w:rPr>
        <w:t xml:space="preserve">取 </w:t>
      </w:r>
      <w:r>
        <w:rPr>
          <w:rFonts w:hint="eastAsia" w:ascii="宋体" w:hAnsi="宋体" w:eastAsia="宋体" w:cs="宋体"/>
          <w:w w:val="110"/>
        </w:rPr>
        <w:t xml:space="preserve">10ml </w:t>
      </w:r>
      <w:r>
        <w:rPr>
          <w:rFonts w:hint="eastAsia" w:ascii="宋体" w:hAnsi="宋体" w:eastAsia="宋体" w:cs="宋体"/>
          <w:spacing w:val="-7"/>
          <w:w w:val="110"/>
        </w:rPr>
        <w:t xml:space="preserve">左右的 </w:t>
      </w:r>
      <w:r>
        <w:rPr>
          <w:rFonts w:hint="eastAsia" w:ascii="宋体" w:hAnsi="宋体" w:eastAsia="宋体" w:cs="宋体"/>
          <w:w w:val="110"/>
        </w:rPr>
        <w:t xml:space="preserve">1×TMB Wash buffer </w:t>
      </w:r>
      <w:r>
        <w:rPr>
          <w:rFonts w:hint="eastAsia" w:ascii="宋体" w:hAnsi="宋体" w:eastAsia="宋体" w:cs="宋体"/>
          <w:spacing w:val="-6"/>
          <w:w w:val="110"/>
        </w:rPr>
        <w:t xml:space="preserve">漂洗切片 </w:t>
      </w:r>
      <w:r>
        <w:rPr>
          <w:rFonts w:hint="eastAsia" w:ascii="宋体" w:hAnsi="宋体" w:eastAsia="宋体" w:cs="宋体"/>
          <w:w w:val="110"/>
        </w:rPr>
        <w:t>2-3 次，每</w:t>
      </w:r>
      <w:r>
        <w:rPr>
          <w:rFonts w:hint="eastAsia" w:ascii="宋体" w:hAnsi="宋体" w:eastAsia="宋体" w:cs="宋体"/>
          <w:spacing w:val="-15"/>
          <w:w w:val="110"/>
        </w:rPr>
        <w:t xml:space="preserve">次 </w:t>
      </w:r>
      <w:r>
        <w:rPr>
          <w:rFonts w:hint="eastAsia" w:ascii="宋体" w:hAnsi="宋体" w:eastAsia="宋体" w:cs="宋体"/>
          <w:w w:val="110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8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贴片，载玻片用铬明矾明胶包被，室温空气干燥。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9、脱水、透明步骤按如下操作：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①蒸馏水 10s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②70%</w:t>
      </w:r>
      <w:r>
        <w:rPr>
          <w:rFonts w:hint="eastAsia" w:ascii="宋体" w:hAnsi="宋体" w:eastAsia="宋体" w:cs="宋体"/>
          <w:spacing w:val="12"/>
        </w:rPr>
        <w:t xml:space="preserve">乙醇  </w:t>
      </w:r>
      <w:r>
        <w:rPr>
          <w:rFonts w:hint="eastAsia" w:ascii="宋体" w:hAnsi="宋体" w:eastAsia="宋体" w:cs="宋体"/>
        </w:rPr>
        <w:t>10s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③95%</w:t>
      </w:r>
      <w:r>
        <w:rPr>
          <w:rFonts w:hint="eastAsia" w:ascii="宋体" w:hAnsi="宋体" w:eastAsia="宋体" w:cs="宋体"/>
          <w:spacing w:val="12"/>
        </w:rPr>
        <w:t xml:space="preserve">乙醇  </w:t>
      </w:r>
      <w:r>
        <w:rPr>
          <w:rFonts w:hint="eastAsia" w:ascii="宋体" w:hAnsi="宋体" w:eastAsia="宋体" w:cs="宋体"/>
        </w:rPr>
        <w:t>10s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④100%乙醇 2 次，每次 10s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⑤二甲苯 2 次，每次 2～5min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10、中性树胶封片，显微镜下观察蓝色反应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1、如果出现高的反应</w:t>
      </w:r>
      <w:r>
        <w:rPr>
          <w:rFonts w:hint="eastAsia" w:ascii="宋体" w:hAnsi="宋体" w:eastAsia="宋体" w:cs="宋体"/>
          <w:spacing w:val="-1"/>
          <w:w w:val="105"/>
        </w:rPr>
        <w:t xml:space="preserve">背景或沉淀，表明 </w:t>
      </w:r>
      <w:r>
        <w:rPr>
          <w:rFonts w:hint="eastAsia" w:ascii="宋体" w:hAnsi="宋体" w:eastAsia="宋体" w:cs="宋体"/>
          <w:w w:val="105"/>
        </w:rPr>
        <w:t>TMB</w:t>
      </w:r>
      <w:r>
        <w:rPr>
          <w:rFonts w:hint="eastAsia" w:ascii="宋体" w:hAnsi="宋体" w:eastAsia="宋体" w:cs="宋体"/>
          <w:spacing w:val="5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底物反应过于强烈。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2、所用器皿必须洁净，避免含有氧化剂或还原剂，否则会产生非特异性反应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TMB  显色液避免反复冻融，以免显色效率下降。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TMB  增强剂注意密闭保存，否则显色效率下降。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个月内有效。</w:t>
      </w:r>
    </w:p>
    <w:sectPr>
      <w:pgSz w:w="11900" w:h="16840"/>
      <w:pgMar w:top="1600" w:right="10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83489" o:spid="_x0000_s2050" o:spt="136" type="#_x0000_t136" style="position:absolute;left:0pt;height:72.8pt;width:579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4075430</wp:posOffset>
              </wp:positionH>
              <wp:positionV relativeFrom="paragraph">
                <wp:posOffset>-635</wp:posOffset>
              </wp:positionV>
              <wp:extent cx="1783715" cy="875030"/>
              <wp:effectExtent l="0" t="0" r="6985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42230" y="469265"/>
                        <a:ext cx="1783715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0.9pt;margin-top:-0.05pt;height:68.9pt;width:140.45pt;z-index:251658240;mso-width-relative:page;mso-height-relative:page;" fillcolor="#FFFFFF" filled="t" stroked="f" coordsize="21600,21600" o:gfxdata="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1sBOR1wAAAAkBAAAPAAAAAAAAAAEAIAAAACIAAABkcnMvZG93&#10;bnJldi54bWxQSwECFAAUAAAACACHTuJA+zkSQs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D0EB0"/>
    <w:rsid w:val="085541E6"/>
    <w:rsid w:val="13B5183D"/>
    <w:rsid w:val="18281E67"/>
    <w:rsid w:val="295770FE"/>
    <w:rsid w:val="2C6F7DDB"/>
    <w:rsid w:val="35BA727D"/>
    <w:rsid w:val="35FA2083"/>
    <w:rsid w:val="37B07846"/>
    <w:rsid w:val="39DC0C0E"/>
    <w:rsid w:val="3C881252"/>
    <w:rsid w:val="422B46E7"/>
    <w:rsid w:val="467975E1"/>
    <w:rsid w:val="49DC2862"/>
    <w:rsid w:val="522A5E0B"/>
    <w:rsid w:val="617E6E7C"/>
    <w:rsid w:val="62F5058A"/>
    <w:rsid w:val="66DF52D1"/>
    <w:rsid w:val="6BFB4C73"/>
    <w:rsid w:val="6DEE6606"/>
    <w:rsid w:val="73DC7887"/>
    <w:rsid w:val="79126E51"/>
    <w:rsid w:val="796A6137"/>
    <w:rsid w:val="7D9D7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en-US" w:bidi="en-US"/>
    </w:rPr>
  </w:style>
  <w:style w:type="paragraph" w:customStyle="1" w:styleId="12">
    <w:name w:val="Table Paragraph"/>
    <w:basedOn w:val="1"/>
    <w:qFormat/>
    <w:uiPriority w:val="1"/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2019-03-28T07:27:00Z</dcterms:created>
  <dc:creator>94099</dc:creator>
  <cp:lastModifiedBy>Cute  princess</cp:lastModifiedBy>
  <dcterms:modified xsi:type="dcterms:W3CDTF">2019-03-28T07:36:39Z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2019-03-28T00:00:00Z</vt:filetime>
  </property>
  <property fmtid="{D5CDD505-2E9C-101B-9397-08002B2CF9AE}" pid="5" name="KSOProductBuildVer">
    <vt:lpwstr>2052-11.1.0.8527</vt:lpwstr>
  </property>
</Properties>
</file>