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2"/>
        </w:rPr>
        <w:sectPr>
          <w:headerReference r:id="rId3" w:type="default"/>
          <w:type w:val="continuous"/>
          <w:pgSz w:w="11900" w:h="1682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ind w:left="403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bCs/>
          <w:sz w:val="30"/>
        </w:rPr>
        <w:t>软骨染色液(甲苯胺蓝法)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20"/>
          <w:pgMar w:top="660" w:right="1100" w:bottom="280" w:left="1680" w:header="720" w:footer="720" w:gutter="0"/>
          <w:cols w:equalWidth="0" w:num="2">
            <w:col w:w="1644" w:space="893"/>
            <w:col w:w="6583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64" w:firstLine="42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甲苯胺蓝(Toluidine</w:t>
      </w:r>
      <w:r>
        <w:rPr>
          <w:rFonts w:hint="eastAsia" w:asciiTheme="majorEastAsia" w:hAnsiTheme="majorEastAsia" w:eastAsiaTheme="majorEastAsia" w:cstheme="majorEastAsia"/>
          <w:spacing w:val="16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Blue</w:t>
      </w:r>
      <w:r>
        <w:rPr>
          <w:rFonts w:hint="eastAsia" w:asciiTheme="majorEastAsia" w:hAnsiTheme="majorEastAsia" w:eastAsiaTheme="majorEastAsia" w:cstheme="majorEastAsia"/>
          <w:spacing w:val="15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O)是一种常用的人工合成染料,  属于醌亚胺染料类, 这类染料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主要含有胺基和醌型苯环两个发色团，从而成色原显色。甲苯胺蓝中的阳离子有染色作用, </w:t>
      </w:r>
      <w:r>
        <w:rPr>
          <w:rFonts w:hint="eastAsia" w:asciiTheme="majorEastAsia" w:hAnsiTheme="majorEastAsia" w:eastAsiaTheme="majorEastAsia" w:cstheme="majorEastAsia"/>
        </w:rPr>
        <w:t>组织细胞的酸性物质与其中的阳离子相结合而被染色。甲苯胺蓝还含有两个助色团，能促使染料产生电离成盐类, 帮助发色团对组织产生染色力, 使切片上的组织细胞着色，可染细胞核使之呈蓝色。另外，肥大细胞胞质内含有肝素和组织胺等异色性物质，遇到甲苯胺蓝可呈异染性紫红色，临床上经常用于肥大细胞染色。 软骨染色液(甲苯胺蓝法)呈强碱性， 更利于软骨组织的着色。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Theme="majorEastAsia" w:hAnsiTheme="majorEastAsia" w:eastAsiaTheme="majorEastAsia" w:cstheme="majorEastAsia"/>
          <w:sz w:val="47"/>
        </w:rPr>
      </w:pPr>
    </w:p>
    <w:p>
      <w:pPr>
        <w:keepNext w:val="0"/>
        <w:keepLines w:val="0"/>
        <w:pageBreakBefore w:val="0"/>
        <w:widowControl w:val="0"/>
        <w:tabs>
          <w:tab w:val="left" w:pos="3849"/>
          <w:tab w:val="left" w:pos="48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51" w:firstLine="0"/>
        <w:jc w:val="center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sz w:val="20"/>
        </w:rPr>
        <w:t>软骨染色液(甲苯胺蓝法)</w:t>
      </w:r>
      <w:r>
        <w:rPr>
          <w:rFonts w:hint="eastAsia" w:asciiTheme="majorEastAsia" w:hAnsiTheme="majorEastAsia" w:eastAsiaTheme="majorEastAsia" w:cstheme="majorEastAsia"/>
          <w:sz w:val="20"/>
        </w:rPr>
        <w:tab/>
      </w:r>
      <w:r>
        <w:rPr>
          <w:rFonts w:hint="eastAsia" w:asciiTheme="majorEastAsia" w:hAnsiTheme="majorEastAsia" w:eastAsiaTheme="majorEastAsia" w:cstheme="majorEastAsia"/>
          <w:sz w:val="20"/>
        </w:rPr>
        <w:t>100ml</w:t>
      </w:r>
      <w:r>
        <w:rPr>
          <w:rFonts w:hint="eastAsia" w:asciiTheme="majorEastAsia" w:hAnsiTheme="majorEastAsia" w:eastAsiaTheme="majorEastAsia" w:cstheme="majorEastAsia"/>
          <w:sz w:val="20"/>
        </w:rPr>
        <w:tab/>
      </w:r>
      <w:r>
        <w:rPr>
          <w:rFonts w:hint="eastAsia" w:asciiTheme="majorEastAsia" w:hAnsiTheme="majorEastAsia" w:eastAsiaTheme="majorEastAsia" w:cstheme="majorEastAsia"/>
          <w:sz w:val="21"/>
        </w:rPr>
        <w:t>RT</w:t>
      </w:r>
      <w:r>
        <w:rPr>
          <w:rFonts w:hint="eastAsia" w:asciiTheme="majorEastAsia" w:hAnsiTheme="majorEastAsia" w:eastAsiaTheme="majorEastAsia" w:cstheme="majorEastAsia"/>
          <w:spacing w:val="-2"/>
          <w:sz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</w:rPr>
        <w:t>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Theme="majorEastAsia" w:hAnsiTheme="majorEastAsia" w:eastAsiaTheme="majorEastAsia" w:cstheme="majorEastAsia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1、常规脱钙，包埋、固定。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0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2、石蜡切片入二甲苯 2 次，每次 15min。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3、系列乙醇各 1min，自来水洗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50" w:lineRule="exact"/>
        <w:ind w:left="40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4、切片入</w:t>
      </w:r>
      <w:r>
        <w:rPr>
          <w:rFonts w:hint="eastAsia" w:asciiTheme="majorEastAsia" w:hAnsiTheme="majorEastAsia" w:eastAsiaTheme="majorEastAsia" w:cstheme="majorEastAsia"/>
          <w:sz w:val="20"/>
        </w:rPr>
        <w:t>软骨染色液</w:t>
      </w:r>
      <w:r>
        <w:rPr>
          <w:rFonts w:hint="eastAsia" w:asciiTheme="majorEastAsia" w:hAnsiTheme="majorEastAsia" w:eastAsiaTheme="majorEastAsia" w:cstheme="majorEastAsia"/>
        </w:rPr>
        <w:t>，浸染 15～20min。根据不同组织，染色时间不完全相同。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5、自来水洗 2min，滤纸吸干水分。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350" w:lineRule="exact"/>
        <w:ind w:left="40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6、丙酮分化至软骨细胞呈紫蓝色清楚可见。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40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7、逐级乙醇脱水，二甲苯透明，中性树胶封固。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3" w:right="3526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染色结果：</w:t>
      </w:r>
      <w:r>
        <w:rPr>
          <w:rFonts w:hint="eastAsia" w:asciiTheme="majorEastAsia" w:hAnsiTheme="majorEastAsia" w:eastAsiaTheme="majorEastAsia" w:cstheme="majorEastAsia"/>
          <w:sz w:val="21"/>
        </w:rPr>
        <w:t>软骨、成骨细胞呈紫蓝色；背景呈淡蓝色。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1、针对于较难着色组织的染色，浸染的时间应相应延长。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3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有效期：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0"/>
        </w:rPr>
        <w:t>12 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Theme="majorEastAsia" w:hAnsiTheme="majorEastAsia" w:eastAsiaTheme="majorEastAsia" w:cstheme="majorEastAsia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sectPr>
      <w:type w:val="continuous"/>
      <w:pgSz w:w="11900" w:h="1682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1475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3902075</wp:posOffset>
              </wp:positionH>
              <wp:positionV relativeFrom="paragraph">
                <wp:posOffset>7620</wp:posOffset>
              </wp:positionV>
              <wp:extent cx="1857375" cy="86677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8875" y="477520"/>
                        <a:ext cx="18573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7.25pt;margin-top:0.6pt;height:68.25pt;width:146.25pt;z-index:251658240;mso-width-relative:page;mso-height-relative:page;" fillcolor="#FFFFFF" filled="t" stroked="f" coordsize="21600,21600" o:gfxdata="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mZy8nVAAAACQEAAA8AAAAAAAAAAQAgAAAAIgAAAGRycy9kb3ducmV2Lnht&#10;bFBLAQIUABQAAAAIAIdO4kCxzGKBwwEAAFQ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E5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2019-07-26T02:25:00Z</dcterms:created>
  <dc:creator>Administrator</dc:creator>
  <cp:lastModifiedBy>Cute  princess</cp:lastModifiedBy>
  <dcterms:modified xsi:type="dcterms:W3CDTF">2019-07-26T02:42:57Z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2052-11.1.0.8894</vt:lpwstr>
  </property>
</Properties>
</file>