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60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核酸助沉</w:t>
      </w:r>
      <w:r>
        <w:rPr>
          <w:rFonts w:hint="eastAsia" w:ascii="宋体" w:hAnsi="宋体" w:eastAsia="宋体" w:cs="宋体"/>
          <w:b/>
          <w:sz w:val="30"/>
        </w:rPr>
        <w:t>剂</w:t>
      </w:r>
      <w:r>
        <w:rPr>
          <w:rFonts w:hint="eastAsia" w:ascii="宋体" w:hAnsi="宋体" w:eastAsia="宋体" w:cs="宋体"/>
          <w:b/>
          <w:sz w:val="30"/>
        </w:rPr>
        <w:t>(Glycogen,5mg/ml)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600" w:bottom="280" w:left="1680" w:header="720" w:footer="720" w:gutter="0"/>
          <w:cols w:equalWidth="0" w:num="2">
            <w:col w:w="1646" w:space="457"/>
            <w:col w:w="7517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89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820" w:rightChars="0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/>
          <w:spacing w:val="-6"/>
        </w:rPr>
        <w:t>核酸助沉有多种方法，其中 Glycogen 就是很好的核酸助沉剂(Acryl Carrier)。大多数情况下glycogen比tRNA或超声处理过的DNA效果更好，由于glycogen中不含DNA 和 RNA，因此用 glycogen 作为辅助沉淀剂沉淀下来的核酸更适合于后续的 PCR</w:t>
      </w:r>
      <w:r>
        <w:rPr>
          <w:rFonts w:hint="eastAsia" w:ascii="宋体" w:hAnsi="宋体" w:eastAsia="宋体" w:cs="宋体"/>
          <w:snapToGrid/>
          <w:spacing w:val="-6"/>
          <w:w w:val="120"/>
        </w:rPr>
        <w:t>、</w:t>
      </w:r>
      <w:r>
        <w:rPr>
          <w:rFonts w:hint="eastAsia" w:ascii="宋体" w:hAnsi="宋体" w:eastAsia="宋体" w:cs="宋体"/>
          <w:snapToGrid/>
          <w:spacing w:val="-6"/>
        </w:rPr>
        <w:t>RT-PCR以及内切酶等核酸酶反应。而tRNA或超声处理过的DNA作为辅助沉淀剂有时会干扰PCR</w:t>
      </w:r>
      <w:r>
        <w:rPr>
          <w:rFonts w:hint="eastAsia" w:ascii="宋体" w:hAnsi="宋体" w:eastAsia="宋体" w:cs="宋体"/>
          <w:snapToGrid/>
          <w:spacing w:val="-6"/>
          <w:w w:val="125"/>
        </w:rPr>
        <w:t>、</w:t>
      </w:r>
      <w:r>
        <w:rPr>
          <w:rFonts w:hint="eastAsia" w:ascii="宋体" w:hAnsi="宋体" w:eastAsia="宋体" w:cs="宋体"/>
          <w:snapToGrid/>
          <w:spacing w:val="-6"/>
        </w:rPr>
        <w:t>RT-PCR 以及内切酶等核酸酶反应。据文献报道，连接反应产物用  glycogen沉淀后对于后续的细菌转化几乎没有干扰</w:t>
      </w:r>
      <w:r>
        <w:rPr>
          <w:rFonts w:hint="eastAsia" w:ascii="宋体" w:hAnsi="宋体" w:eastAsia="宋体" w:cs="宋体"/>
          <w:snapToGrid/>
          <w:spacing w:val="-6"/>
          <w:w w:val="120"/>
        </w:rPr>
        <w:t xml:space="preserve">， </w:t>
      </w:r>
      <w:r>
        <w:rPr>
          <w:rFonts w:hint="eastAsia" w:ascii="宋体" w:hAnsi="宋体" w:eastAsia="宋体" w:cs="宋体"/>
          <w:snapToGrid/>
          <w:spacing w:val="-6"/>
        </w:rPr>
        <w:t>1μg/mlglycogen不会抑制TdT，浓度小于2mg/ml的glycogen 几乎不会影响反转录酶的活性，0.02mg/ml glycogen 不会抑制 T4 RNA ligase 的活性。核酸助沉剂(Glycogen,5mg/ml)主要成分为进口  Glycogen，不含DNase 和  RNase，可以用作沉淀  DNA 或  RNA 的辅助沉淀剂，通常  4～5μlGlycogen(5mg/ml) 可把 pg 级的 DNA 或 RNA 从 1ml的溶液体系中沉淀出来。</w:t>
      </w:r>
    </w:p>
    <w:p>
      <w:pPr>
        <w:pStyle w:val="3"/>
        <w:spacing w:before="2"/>
        <w:rPr>
          <w:rFonts w:hint="eastAsia" w:ascii="宋体" w:hAnsi="宋体" w:eastAsia="宋体" w:cs="宋体"/>
          <w:sz w:val="26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5"/>
        </w:rPr>
      </w:pPr>
    </w:p>
    <w:p>
      <w:pPr>
        <w:tabs>
          <w:tab w:val="left" w:pos="5060"/>
          <w:tab w:val="left" w:pos="5976"/>
          <w:tab w:val="left" w:pos="7057"/>
        </w:tabs>
        <w:spacing w:before="1"/>
        <w:ind w:left="1382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核酸助沉</w:t>
      </w:r>
      <w:r>
        <w:rPr>
          <w:rFonts w:hint="eastAsia" w:ascii="宋体" w:hAnsi="宋体" w:eastAsia="宋体" w:cs="宋体"/>
          <w:sz w:val="21"/>
        </w:rPr>
        <w:t>剂</w:t>
      </w:r>
      <w:r>
        <w:rPr>
          <w:rFonts w:hint="eastAsia" w:ascii="宋体" w:hAnsi="宋体" w:eastAsia="宋体" w:cs="宋体"/>
          <w:sz w:val="21"/>
        </w:rPr>
        <w:t>(Glycogen,5mg/ml)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5×1ml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-20</w:t>
      </w:r>
      <w:r>
        <w:rPr>
          <w:rFonts w:hint="eastAsia" w:ascii="宋体" w:hAnsi="宋体" w:eastAsia="宋体" w:cs="宋体"/>
          <w:sz w:val="21"/>
        </w:rPr>
        <w:t>℃</w:t>
      </w: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9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pacing w:val="0"/>
          <w:sz w:val="24"/>
        </w:rPr>
      </w:pPr>
      <w:r>
        <w:rPr>
          <w:rFonts w:hint="eastAsia" w:ascii="宋体" w:hAnsi="宋体" w:eastAsia="宋体" w:cs="宋体"/>
          <w:b/>
          <w:spacing w:val="0"/>
          <w:sz w:val="24"/>
        </w:rPr>
        <w:t>操作步骤</w:t>
      </w:r>
      <w:r>
        <w:rPr>
          <w:rFonts w:hint="eastAsia" w:ascii="宋体" w:hAnsi="宋体" w:eastAsia="宋体" w:cs="宋体"/>
          <w:spacing w:val="0"/>
          <w:sz w:val="21"/>
        </w:rPr>
        <w:t>(仅供参考)</w:t>
      </w:r>
      <w:r>
        <w:rPr>
          <w:rFonts w:hint="eastAsia" w:ascii="宋体" w:hAnsi="宋体" w:eastAsia="宋体" w:cs="宋体"/>
          <w:b/>
          <w:spacing w:val="0"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1125" w:right="397" w:hanging="721"/>
        <w:textAlignment w:val="auto"/>
        <w:rPr>
          <w:rFonts w:hint="eastAsia" w:ascii="宋体" w:hAnsi="宋体" w:eastAsia="宋体" w:cs="宋体"/>
          <w:spacing w:val="0"/>
        </w:rPr>
      </w:pPr>
      <w:r>
        <w:rPr>
          <w:rFonts w:hint="eastAsia" w:ascii="宋体" w:hAnsi="宋体" w:eastAsia="宋体" w:cs="宋体"/>
          <w:spacing w:val="0"/>
        </w:rPr>
        <w:t>1</w:t>
      </w:r>
      <w:r>
        <w:rPr>
          <w:rFonts w:hint="eastAsia" w:ascii="宋体" w:hAnsi="宋体" w:eastAsia="宋体" w:cs="宋体"/>
          <w:spacing w:val="0"/>
          <w:w w:val="120"/>
        </w:rPr>
        <w:t xml:space="preserve">、 </w:t>
      </w:r>
      <w:r>
        <w:rPr>
          <w:rFonts w:hint="eastAsia" w:ascii="宋体" w:hAnsi="宋体" w:eastAsia="宋体" w:cs="宋体"/>
          <w:spacing w:val="0"/>
        </w:rPr>
        <w:t>在待沉淀的 DNA 或 RNA 样品中加入  4～5μl Glycogen(20mg/ml)，混匀。对于特定的实验，Glycogen 的用量可以参考文献或特定的操作说明进行，一般不超过 20μl</w:t>
      </w:r>
      <w:r>
        <w:rPr>
          <w:rFonts w:hint="eastAsia" w:ascii="宋体" w:hAnsi="宋体" w:eastAsia="宋体" w:cs="宋体"/>
          <w:spacing w:val="0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  <w:spacing w:val="0"/>
        </w:rPr>
      </w:pPr>
      <w:r>
        <w:rPr>
          <w:rFonts w:hint="eastAsia" w:ascii="宋体" w:hAnsi="宋体" w:eastAsia="宋体" w:cs="宋体"/>
          <w:spacing w:val="0"/>
          <w:w w:val="105"/>
        </w:rPr>
        <w:t>2</w:t>
      </w:r>
      <w:r>
        <w:rPr>
          <w:rFonts w:hint="eastAsia" w:ascii="宋体" w:hAnsi="宋体" w:eastAsia="宋体" w:cs="宋体"/>
          <w:spacing w:val="0"/>
          <w:w w:val="130"/>
        </w:rPr>
        <w:t xml:space="preserve">、 </w:t>
      </w:r>
      <w:r>
        <w:rPr>
          <w:rFonts w:hint="eastAsia" w:ascii="宋体" w:hAnsi="宋体" w:eastAsia="宋体" w:cs="宋体"/>
          <w:spacing w:val="0"/>
          <w:w w:val="105"/>
        </w:rPr>
        <w:t>根据实验需要采用乙醇或其它方法沉淀 DNA 或 RNA</w:t>
      </w:r>
      <w:r>
        <w:rPr>
          <w:rFonts w:hint="eastAsia" w:ascii="宋体" w:hAnsi="宋体" w:eastAsia="宋体" w:cs="宋体"/>
          <w:spacing w:val="0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1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50" w:lineRule="exact"/>
        <w:ind w:left="1125" w:right="266" w:hanging="721"/>
        <w:textAlignment w:val="auto"/>
        <w:rPr>
          <w:rFonts w:hint="eastAsia" w:ascii="宋体" w:hAnsi="宋体" w:eastAsia="宋体" w:cs="宋体"/>
          <w:spacing w:val="0"/>
        </w:rPr>
      </w:pPr>
      <w:r>
        <w:rPr>
          <w:rFonts w:hint="eastAsia" w:ascii="宋体" w:hAnsi="宋体" w:eastAsia="宋体" w:cs="宋体"/>
          <w:spacing w:val="0"/>
        </w:rPr>
        <w:t>3</w:t>
      </w:r>
      <w:r>
        <w:rPr>
          <w:rFonts w:hint="eastAsia" w:ascii="宋体" w:hAnsi="宋体" w:eastAsia="宋体" w:cs="宋体"/>
          <w:spacing w:val="0"/>
          <w:w w:val="120"/>
        </w:rPr>
        <w:t xml:space="preserve">、  </w:t>
      </w:r>
      <w:r>
        <w:rPr>
          <w:rFonts w:hint="eastAsia" w:ascii="宋体" w:hAnsi="宋体" w:eastAsia="宋体" w:cs="宋体"/>
          <w:spacing w:val="0"/>
        </w:rPr>
        <w:t>加入乙醇等沉淀试剂，混匀，12000g 左右离心  10min，即可得到核酸和glycogen的共沉淀物。如果要求尽量沉淀完全，在加入乙醇等沉淀试剂并混匀后，可以-20℃或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1125"/>
        <w:textAlignment w:val="auto"/>
        <w:rPr>
          <w:rFonts w:hint="eastAsia" w:ascii="宋体" w:hAnsi="宋体" w:eastAsia="宋体" w:cs="宋体"/>
          <w:spacing w:val="0"/>
        </w:rPr>
      </w:pPr>
      <w:r>
        <w:rPr>
          <w:rFonts w:hint="eastAsia" w:ascii="宋体" w:hAnsi="宋体" w:eastAsia="宋体" w:cs="宋体"/>
          <w:spacing w:val="0"/>
          <w:w w:val="105"/>
        </w:rPr>
        <w:t>-80℃冻存数小时或过夜后再离心。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pacing w:val="0"/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spacing w:val="0"/>
        </w:rPr>
      </w:pPr>
      <w:r>
        <w:rPr>
          <w:rFonts w:hint="eastAsia" w:ascii="宋体" w:hAnsi="宋体" w:eastAsia="宋体" w:cs="宋体"/>
          <w:spacing w:val="0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50" w:lineRule="exact"/>
        <w:ind w:left="405"/>
        <w:textAlignment w:val="auto"/>
        <w:rPr>
          <w:rFonts w:hint="eastAsia" w:ascii="宋体" w:hAnsi="宋体" w:eastAsia="宋体" w:cs="宋体"/>
          <w:spacing w:val="0"/>
        </w:rPr>
      </w:pPr>
      <w:r>
        <w:rPr>
          <w:rFonts w:hint="eastAsia" w:ascii="宋体" w:hAnsi="宋体" w:eastAsia="宋体" w:cs="宋体"/>
          <w:spacing w:val="0"/>
          <w:w w:val="105"/>
        </w:rPr>
        <w:t>1、避免反复冻融，以免 Glycogen</w:t>
      </w:r>
      <w:r>
        <w:rPr>
          <w:rFonts w:hint="eastAsia" w:ascii="宋体" w:hAnsi="宋体" w:eastAsia="宋体" w:cs="宋体"/>
          <w:spacing w:val="0"/>
          <w:w w:val="105"/>
        </w:rPr>
        <w:tab/>
      </w:r>
      <w:r>
        <w:rPr>
          <w:rFonts w:hint="eastAsia" w:ascii="宋体" w:hAnsi="宋体" w:eastAsia="宋体" w:cs="宋体"/>
          <w:spacing w:val="0"/>
          <w:w w:val="105"/>
        </w:rPr>
        <w:t>效率下降。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350" w:lineRule="exact"/>
        <w:ind w:left="405"/>
        <w:textAlignment w:val="auto"/>
        <w:rPr>
          <w:rFonts w:hint="eastAsia" w:ascii="宋体" w:hAnsi="宋体" w:eastAsia="宋体" w:cs="宋体"/>
          <w:spacing w:val="0"/>
        </w:rPr>
      </w:pPr>
      <w:r>
        <w:rPr>
          <w:rFonts w:hint="eastAsia" w:ascii="宋体" w:hAnsi="宋体" w:eastAsia="宋体" w:cs="宋体"/>
          <w:spacing w:val="0"/>
          <w:w w:val="105"/>
        </w:rPr>
        <w:t>2</w:t>
      </w:r>
      <w:r>
        <w:rPr>
          <w:rFonts w:hint="eastAsia" w:ascii="宋体" w:hAnsi="宋体" w:eastAsia="宋体" w:cs="宋体"/>
          <w:spacing w:val="0"/>
          <w:w w:val="130"/>
        </w:rPr>
        <w:t>、</w:t>
      </w:r>
      <w:r>
        <w:rPr>
          <w:rFonts w:hint="eastAsia" w:ascii="宋体" w:hAnsi="宋体" w:eastAsia="宋体" w:cs="宋体"/>
          <w:spacing w:val="0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pacing w:val="0"/>
          <w:sz w:val="35"/>
        </w:rPr>
      </w:pPr>
    </w:p>
    <w:p>
      <w:pPr>
        <w:keepNext w:val="0"/>
        <w:keepLines w:val="0"/>
        <w:pageBreakBefore w:val="0"/>
        <w:widowControl w:val="0"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pacing w:val="0"/>
        </w:rPr>
      </w:pPr>
      <w:r>
        <w:rPr>
          <w:rFonts w:hint="eastAsia" w:ascii="宋体" w:hAnsi="宋体" w:eastAsia="宋体" w:cs="宋体"/>
          <w:b/>
          <w:spacing w:val="0"/>
          <w:sz w:val="24"/>
        </w:rPr>
        <w:t>有效期：</w:t>
      </w:r>
      <w:r>
        <w:rPr>
          <w:rFonts w:hint="eastAsia" w:ascii="宋体" w:hAnsi="宋体" w:eastAsia="宋体" w:cs="宋体"/>
          <w:b/>
          <w:spacing w:val="0"/>
          <w:sz w:val="24"/>
        </w:rPr>
        <w:tab/>
      </w:r>
      <w:r>
        <w:rPr>
          <w:rFonts w:hint="eastAsia" w:ascii="宋体" w:hAnsi="宋体" w:eastAsia="宋体" w:cs="宋体"/>
          <w:spacing w:val="0"/>
          <w:sz w:val="21"/>
        </w:rPr>
        <w:t>12</w:t>
      </w:r>
      <w:r>
        <w:rPr>
          <w:rFonts w:hint="eastAsia" w:ascii="宋体" w:hAnsi="宋体" w:eastAsia="宋体" w:cs="宋体"/>
          <w:spacing w:val="0"/>
          <w:w w:val="105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24"/>
        </w:rPr>
      </w:pPr>
    </w:p>
    <w:sectPr>
      <w:type w:val="continuous"/>
      <w:pgSz w:w="11900" w:h="16840"/>
      <w:pgMar w:top="660" w:right="6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17689" o:spid="_x0000_s2050" o:spt="136" type="#_x0000_t136" style="position:absolute;left:0pt;height:75.95pt;width:604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4083685</wp:posOffset>
              </wp:positionH>
              <wp:positionV relativeFrom="paragraph">
                <wp:posOffset>-8890</wp:posOffset>
              </wp:positionV>
              <wp:extent cx="1939925" cy="883285"/>
              <wp:effectExtent l="0" t="0" r="317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50485" y="461010"/>
                        <a:ext cx="1939925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1.55pt;margin-top:-0.7pt;height:69.55pt;width:152.75pt;z-index:251658240;mso-width-relative:page;mso-height-relative:page;" fillcolor="#FFFFFF" filled="t" stroked="f" coordsize="21600,21600" o:gfxdata="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H7AoPYAAAACgEAAA8AAAAAAAAAAQAgAAAAIgAAAGRycy9kb3du&#10;cmV2LnhtbFBLAQIUABQAAAAIAIdO4kCNYMlr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60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sv-SE" w:eastAsia="sv-SE" w:bidi="sv-S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sv-SE" w:eastAsia="sv-SE" w:bidi="sv-S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sv-SE" w:eastAsia="sv-SE" w:bidi="sv-S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sv-SE" w:eastAsia="sv-SE" w:bidi="sv-SE"/>
    </w:rPr>
  </w:style>
  <w:style w:type="paragraph" w:customStyle="1" w:styleId="11">
    <w:name w:val="Table Paragraph"/>
    <w:basedOn w:val="1"/>
    <w:qFormat/>
    <w:uiPriority w:val="1"/>
    <w:rPr>
      <w:lang w:val="sv-SE" w:eastAsia="sv-SE" w:bidi="sv-S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2019-04-09T09:13:00Z</dcterms:created>
  <dc:creator>94099</dc:creator>
  <cp:lastModifiedBy>Cute  princess</cp:lastModifiedBy>
  <dcterms:modified xsi:type="dcterms:W3CDTF">2019-04-09T09:25:17Z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2052-11.1.0.8527</vt:lpwstr>
  </property>
</Properties>
</file>