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950595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50595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8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lXYHK&#10;1wAAAAwBAAAPAAAAAAAAAAEAIAAAACIAAABkcnMvZG93bnJldi54bWxQSwECFAAUAAAACACHTuJA&#10;W/94jekBAAC0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ind w:left="0"/>
        <w:rPr>
          <w:b/>
          <w:sz w:val="20"/>
        </w:rPr>
      </w:pPr>
    </w:p>
    <w:p>
      <w:pPr>
        <w:pStyle w:val="3"/>
        <w:ind w:left="0"/>
        <w:rPr>
          <w:b/>
          <w:sz w:val="20"/>
        </w:rPr>
      </w:pPr>
    </w:p>
    <w:p>
      <w:pPr>
        <w:spacing w:after="0"/>
        <w:rPr>
          <w:sz w:val="26"/>
        </w:rPr>
        <w:sectPr>
          <w:headerReference r:id="rId3" w:type="default"/>
          <w:type w:val="continuous"/>
          <w:pgSz w:w="11900" w:h="16840"/>
          <w:pgMar w:top="660" w:right="1100" w:bottom="280" w:left="1680" w:header="720" w:footer="720" w:gutter="0"/>
        </w:sectPr>
      </w:pPr>
      <w:bookmarkStart w:id="0" w:name="_GoBack"/>
      <w:bookmarkEnd w:id="0"/>
    </w:p>
    <w:p>
      <w:pPr>
        <w:pStyle w:val="3"/>
        <w:ind w:left="0"/>
        <w:rPr>
          <w:b/>
          <w:sz w:val="24"/>
        </w:rPr>
      </w:pPr>
    </w:p>
    <w:p>
      <w:pPr>
        <w:pStyle w:val="2"/>
        <w:spacing w:before="154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0" w:line="538" w:lineRule="exact"/>
        <w:ind w:left="405" w:right="0" w:firstLine="0"/>
        <w:jc w:val="left"/>
        <w:rPr>
          <w:rFonts w:hint="eastAsia" w:ascii="宋体" w:hAnsi="宋体" w:eastAsia="宋体" w:cs="宋体"/>
          <w:b/>
          <w:sz w:val="32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2"/>
        </w:rPr>
        <w:t>细胞线粒体分离试剂盒</w:t>
      </w:r>
    </w:p>
    <w:p>
      <w:pPr>
        <w:spacing w:after="0" w:line="538" w:lineRule="exact"/>
        <w:jc w:val="left"/>
        <w:rPr>
          <w:rFonts w:hint="eastAsia" w:ascii="宋体" w:hAnsi="宋体" w:eastAsia="宋体" w:cs="宋体"/>
          <w:sz w:val="32"/>
        </w:rPr>
        <w:sectPr>
          <w:type w:val="continuous"/>
          <w:pgSz w:w="11900" w:h="16840"/>
          <w:pgMar w:top="660" w:right="1100" w:bottom="280" w:left="1680" w:header="720" w:footer="720" w:gutter="0"/>
          <w:cols w:equalWidth="0" w:num="2">
            <w:col w:w="1646" w:space="922"/>
            <w:col w:w="6552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 w:line="350" w:lineRule="exact"/>
        <w:ind w:right="104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线粒体是细胞呼吸的主要场所，细胞活动所需的能量主要由在线粒体内进行的氧化所产 生的能量来供应。制备线粒体的关键是保持线粒体的完整性和纯度，可通过分级分离法获</w:t>
      </w:r>
      <w:r>
        <w:rPr>
          <w:rFonts w:hint="eastAsia" w:ascii="宋体" w:hAnsi="宋体" w:eastAsia="宋体" w:cs="宋体"/>
          <w:spacing w:val="-10"/>
        </w:rPr>
        <w:t xml:space="preserve">得， </w:t>
      </w:r>
      <w:r>
        <w:rPr>
          <w:rFonts w:hint="eastAsia" w:ascii="宋体" w:hAnsi="宋体" w:eastAsia="宋体" w:cs="宋体"/>
        </w:rPr>
        <w:t>即先低俗出去细胞核以及细胞碎片，再进行高速梯度离心分离线粒体。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45" w:leftChars="0" w:firstLine="378" w:firstLineChars="18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细胞线粒体分离试剂盒(Cell Mitochondria Isolation Kit)是快速便捷分离培养细胞中的线粒体的试剂盒，分离线粒体的同时可以获得去除线粒体的细胞浆蛋白，可用于分析细胞色素 </w:t>
      </w:r>
      <w:r>
        <w:rPr>
          <w:rFonts w:hint="eastAsia" w:ascii="宋体" w:hAnsi="宋体" w:eastAsia="宋体" w:cs="宋体"/>
        </w:rPr>
        <w:t xml:space="preserve">C </w:t>
      </w:r>
      <w:r>
        <w:rPr>
          <w:rFonts w:hint="eastAsia" w:ascii="宋体" w:hAnsi="宋体" w:eastAsia="宋体" w:cs="宋体"/>
        </w:rPr>
        <w:t>等线粒体蛋白向胞浆的释放，大部分获得的线粒体都含有完整的内膜和外膜，并具有线粒体的生理功能(如梱测线粒体膜电位)，获得的蛋白可用于 SDS-PAGE、</w:t>
      </w:r>
      <w:r>
        <w:rPr>
          <w:rFonts w:hint="eastAsia" w:ascii="宋体" w:hAnsi="宋体" w:eastAsia="宋体" w:cs="宋体"/>
        </w:rPr>
        <w:t>Western、双向电泳等蛋白分析。本试剂盒提供台盼蓝染色液和 PMSF，可以分别判断线粒体质量和提取细胞浆蛋白。该试剂盒仅用于科研领域，不宜用于临床诊断或其他用途。</w:t>
      </w:r>
    </w:p>
    <w:p>
      <w:pPr>
        <w:pStyle w:val="3"/>
        <w:ind w:left="0"/>
        <w:rPr>
          <w:sz w:val="22"/>
        </w:rPr>
      </w:pPr>
    </w:p>
    <w:p>
      <w:pPr>
        <w:pStyle w:val="2"/>
        <w:spacing w:before="162"/>
      </w:pPr>
      <w:r>
        <w:rPr>
          <w:rFonts w:hint="eastAsia" w:ascii="Microsoft JhengHei" w:eastAsia="Microsoft JhengHei"/>
        </w:rPr>
        <w:t>产</w:t>
      </w:r>
      <w:r>
        <w:t>品</w:t>
      </w:r>
      <w:r>
        <w:rPr>
          <w:rFonts w:hint="eastAsia" w:ascii="Microsoft JhengHei" w:eastAsia="Microsoft JhengHei"/>
        </w:rPr>
        <w:t>组</w:t>
      </w:r>
      <w:r>
        <w:t>成：</w:t>
      </w:r>
    </w:p>
    <w:p>
      <w:pPr>
        <w:pStyle w:val="3"/>
        <w:ind w:left="0"/>
        <w:rPr>
          <w:rFonts w:ascii="Malgun Gothic"/>
          <w:b/>
          <w:sz w:val="20"/>
        </w:rPr>
      </w:pPr>
    </w:p>
    <w:p>
      <w:pPr>
        <w:pStyle w:val="3"/>
        <w:ind w:left="0"/>
        <w:rPr>
          <w:rFonts w:ascii="Malgun Gothic"/>
          <w:b/>
          <w:sz w:val="20"/>
        </w:rPr>
      </w:pPr>
    </w:p>
    <w:p>
      <w:pPr>
        <w:pStyle w:val="3"/>
        <w:spacing w:before="8" w:after="1"/>
        <w:ind w:left="0"/>
        <w:rPr>
          <w:rFonts w:ascii="Malgun Gothic"/>
          <w:b/>
          <w:sz w:val="10"/>
        </w:rPr>
      </w:pPr>
    </w:p>
    <w:tbl>
      <w:tblPr>
        <w:tblStyle w:val="6"/>
        <w:tblW w:w="6217" w:type="dxa"/>
        <w:tblInd w:w="14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67"/>
        <w:gridCol w:w="1194"/>
        <w:gridCol w:w="11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3867" w:type="dxa"/>
          </w:tcPr>
          <w:p>
            <w:pPr>
              <w:pStyle w:val="11"/>
              <w:spacing w:line="329" w:lineRule="exact"/>
              <w:rPr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试剂</w:t>
            </w:r>
            <w:r>
              <w:rPr>
                <w:sz w:val="21"/>
              </w:rPr>
              <w:t>(A): Mitochondria Lysis buffer</w:t>
            </w:r>
          </w:p>
          <w:p>
            <w:pPr>
              <w:pStyle w:val="11"/>
              <w:spacing w:line="377" w:lineRule="exact"/>
              <w:rPr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试剂</w:t>
            </w:r>
            <w:r>
              <w:rPr>
                <w:sz w:val="21"/>
              </w:rPr>
              <w:t>(B): Trypan Blue Stain</w:t>
            </w:r>
          </w:p>
        </w:tc>
        <w:tc>
          <w:tcPr>
            <w:tcW w:w="1194" w:type="dxa"/>
          </w:tcPr>
          <w:p>
            <w:pPr>
              <w:pStyle w:val="11"/>
              <w:spacing w:line="321" w:lineRule="exact"/>
              <w:ind w:left="342"/>
              <w:rPr>
                <w:sz w:val="19"/>
              </w:rPr>
            </w:pPr>
            <w:r>
              <w:rPr>
                <w:sz w:val="19"/>
              </w:rPr>
              <w:t>100ml</w:t>
            </w:r>
          </w:p>
          <w:p>
            <w:pPr>
              <w:pStyle w:val="11"/>
              <w:spacing w:line="384" w:lineRule="exact"/>
              <w:ind w:left="402"/>
              <w:rPr>
                <w:sz w:val="21"/>
              </w:rPr>
            </w:pPr>
            <w:r>
              <w:rPr>
                <w:sz w:val="21"/>
              </w:rPr>
              <w:t>10ml</w:t>
            </w:r>
          </w:p>
        </w:tc>
        <w:tc>
          <w:tcPr>
            <w:tcW w:w="1156" w:type="dxa"/>
          </w:tcPr>
          <w:p>
            <w:pPr>
              <w:pStyle w:val="11"/>
              <w:spacing w:line="329" w:lineRule="exact"/>
              <w:ind w:left="178" w:right="28"/>
              <w:jc w:val="center"/>
              <w:rPr>
                <w:sz w:val="21"/>
              </w:rPr>
            </w:pPr>
            <w:r>
              <w:rPr>
                <w:sz w:val="21"/>
              </w:rPr>
              <w:t>-20℃</w:t>
            </w:r>
          </w:p>
          <w:p>
            <w:pPr>
              <w:pStyle w:val="11"/>
              <w:spacing w:line="377" w:lineRule="exact"/>
              <w:ind w:left="208" w:right="28"/>
              <w:jc w:val="center"/>
              <w:rPr>
                <w:rFonts w:hint="eastAsia" w:ascii="MS UI Gothic" w:hAnsi="MS UI Gothic" w:eastAsia="MS UI Gothic"/>
                <w:sz w:val="21"/>
              </w:rPr>
            </w:pPr>
            <w:r>
              <w:rPr>
                <w:sz w:val="21"/>
              </w:rPr>
              <w:t xml:space="preserve">4℃ </w:t>
            </w:r>
            <w:r>
              <w:rPr>
                <w:rFonts w:hint="eastAsia" w:ascii="MS UI Gothic" w:hAnsi="MS UI Gothic" w:eastAsia="MS UI Gothic"/>
                <w:sz w:val="21"/>
              </w:rPr>
              <w:t>避 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867" w:type="dxa"/>
          </w:tcPr>
          <w:p>
            <w:pPr>
              <w:pStyle w:val="11"/>
              <w:spacing w:before="17"/>
              <w:rPr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试剂</w:t>
            </w:r>
            <w:r>
              <w:rPr>
                <w:sz w:val="21"/>
              </w:rPr>
              <w:t>(C): Wash buffer</w:t>
            </w:r>
          </w:p>
        </w:tc>
        <w:tc>
          <w:tcPr>
            <w:tcW w:w="1194" w:type="dxa"/>
          </w:tcPr>
          <w:p>
            <w:pPr>
              <w:pStyle w:val="11"/>
              <w:spacing w:before="13" w:line="380" w:lineRule="exact"/>
              <w:ind w:left="0" w:right="227"/>
              <w:jc w:val="right"/>
              <w:rPr>
                <w:sz w:val="21"/>
              </w:rPr>
            </w:pPr>
            <w:r>
              <w:rPr>
                <w:sz w:val="21"/>
              </w:rPr>
              <w:t>100ml</w:t>
            </w:r>
          </w:p>
        </w:tc>
        <w:tc>
          <w:tcPr>
            <w:tcW w:w="1156" w:type="dxa"/>
          </w:tcPr>
          <w:p>
            <w:pPr>
              <w:pStyle w:val="11"/>
              <w:spacing w:before="17"/>
              <w:ind w:left="178" w:right="28"/>
              <w:jc w:val="center"/>
              <w:rPr>
                <w:sz w:val="21"/>
              </w:rPr>
            </w:pPr>
            <w:r>
              <w:rPr>
                <w:sz w:val="21"/>
              </w:rPr>
              <w:t>-20℃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867" w:type="dxa"/>
          </w:tcPr>
          <w:p>
            <w:pPr>
              <w:pStyle w:val="11"/>
              <w:spacing w:before="38" w:line="368" w:lineRule="exact"/>
              <w:rPr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试剂</w:t>
            </w:r>
            <w:r>
              <w:rPr>
                <w:sz w:val="21"/>
              </w:rPr>
              <w:t>(D): Mitochondria Stock buffer</w:t>
            </w:r>
          </w:p>
        </w:tc>
        <w:tc>
          <w:tcPr>
            <w:tcW w:w="1194" w:type="dxa"/>
          </w:tcPr>
          <w:p>
            <w:pPr>
              <w:pStyle w:val="11"/>
              <w:spacing w:before="8" w:line="240" w:lineRule="auto"/>
              <w:ind w:left="0" w:right="290"/>
              <w:jc w:val="right"/>
              <w:rPr>
                <w:sz w:val="21"/>
              </w:rPr>
            </w:pPr>
            <w:r>
              <w:rPr>
                <w:sz w:val="21"/>
              </w:rPr>
              <w:t>10ml</w:t>
            </w:r>
          </w:p>
        </w:tc>
        <w:tc>
          <w:tcPr>
            <w:tcW w:w="1156" w:type="dxa"/>
          </w:tcPr>
          <w:p>
            <w:pPr>
              <w:pStyle w:val="11"/>
              <w:spacing w:before="12" w:line="240" w:lineRule="auto"/>
              <w:ind w:left="178" w:right="28"/>
              <w:jc w:val="center"/>
              <w:rPr>
                <w:sz w:val="21"/>
              </w:rPr>
            </w:pPr>
            <w:r>
              <w:rPr>
                <w:sz w:val="21"/>
              </w:rPr>
              <w:t>-20℃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867" w:type="dxa"/>
          </w:tcPr>
          <w:p>
            <w:pPr>
              <w:pStyle w:val="11"/>
              <w:spacing w:before="4"/>
              <w:rPr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试剂</w:t>
            </w:r>
            <w:r>
              <w:rPr>
                <w:sz w:val="21"/>
              </w:rPr>
              <w:t>(E): Protein Stock buffer(5×)</w:t>
            </w:r>
          </w:p>
        </w:tc>
        <w:tc>
          <w:tcPr>
            <w:tcW w:w="1194" w:type="dxa"/>
          </w:tcPr>
          <w:p>
            <w:pPr>
              <w:pStyle w:val="11"/>
              <w:spacing w:line="380" w:lineRule="exact"/>
              <w:ind w:left="0" w:right="290"/>
              <w:jc w:val="right"/>
              <w:rPr>
                <w:sz w:val="21"/>
              </w:rPr>
            </w:pPr>
            <w:r>
              <w:rPr>
                <w:sz w:val="21"/>
              </w:rPr>
              <w:t>20ml</w:t>
            </w:r>
          </w:p>
        </w:tc>
        <w:tc>
          <w:tcPr>
            <w:tcW w:w="1156" w:type="dxa"/>
          </w:tcPr>
          <w:p>
            <w:pPr>
              <w:pStyle w:val="11"/>
              <w:spacing w:before="4"/>
              <w:ind w:left="189" w:right="28"/>
              <w:jc w:val="center"/>
              <w:rPr>
                <w:sz w:val="21"/>
              </w:rPr>
            </w:pPr>
            <w:r>
              <w:rPr>
                <w:sz w:val="21"/>
              </w:rPr>
              <w:t>RT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867" w:type="dxa"/>
          </w:tcPr>
          <w:p>
            <w:pPr>
              <w:pStyle w:val="11"/>
              <w:spacing w:before="12" w:line="338" w:lineRule="exact"/>
              <w:rPr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试剂</w:t>
            </w:r>
            <w:r>
              <w:rPr>
                <w:sz w:val="21"/>
              </w:rPr>
              <w:t>(F): PMSF(100×)</w:t>
            </w:r>
          </w:p>
        </w:tc>
        <w:tc>
          <w:tcPr>
            <w:tcW w:w="1194" w:type="dxa"/>
          </w:tcPr>
          <w:p>
            <w:pPr>
              <w:pStyle w:val="11"/>
              <w:spacing w:before="8" w:line="342" w:lineRule="exact"/>
              <w:ind w:left="0" w:right="269"/>
              <w:jc w:val="right"/>
              <w:rPr>
                <w:sz w:val="21"/>
              </w:rPr>
            </w:pPr>
            <w:r>
              <w:rPr>
                <w:sz w:val="21"/>
              </w:rPr>
              <w:t>1.5ml</w:t>
            </w:r>
          </w:p>
        </w:tc>
        <w:tc>
          <w:tcPr>
            <w:tcW w:w="1156" w:type="dxa"/>
          </w:tcPr>
          <w:p>
            <w:pPr>
              <w:pStyle w:val="11"/>
              <w:spacing w:before="38" w:line="312" w:lineRule="exact"/>
              <w:ind w:left="178" w:right="28"/>
              <w:jc w:val="center"/>
              <w:rPr>
                <w:sz w:val="21"/>
              </w:rPr>
            </w:pPr>
            <w:r>
              <w:rPr>
                <w:sz w:val="21"/>
              </w:rPr>
              <w:t>-20℃</w:t>
            </w:r>
          </w:p>
        </w:tc>
      </w:tr>
    </w:tbl>
    <w:p>
      <w:pPr>
        <w:pStyle w:val="3"/>
        <w:ind w:left="0"/>
        <w:rPr>
          <w:rFonts w:ascii="Malgun Gothic"/>
          <w:b/>
          <w:sz w:val="20"/>
        </w:rPr>
      </w:pPr>
    </w:p>
    <w:p>
      <w:pPr>
        <w:pStyle w:val="3"/>
        <w:spacing w:before="13"/>
        <w:ind w:left="0"/>
        <w:rPr>
          <w:rFonts w:ascii="Malgun Gothic"/>
          <w:b/>
          <w:sz w:val="1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自备材料：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leftChars="0" w:right="1873" w:firstLine="35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 胰蛋白酶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leftChars="0" w:right="1873" w:firstLine="35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 低温离心机、匀浆器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leftChars="0" w:right="1873" w:firstLine="35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 、 PBS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350" w:lineRule="exact"/>
        <w:ind w:left="0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leftChars="0" w:right="760" w:rightChars="0" w:firstLine="35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</w:t>
      </w:r>
      <w:r>
        <w:rPr>
          <w:rFonts w:hint="eastAsia" w:ascii="宋体" w:hAnsi="宋体" w:eastAsia="宋体" w:cs="宋体"/>
        </w:rPr>
        <w:t>清洗：用预冷的 PBS 清洗细胞 1 次，4℃ 1000g 离心 5min，其上清。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leftChars="0" w:right="320" w:rightChars="0" w:firstLine="35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2、裂解：沉淀用 1～2ml 预冷的 Mitochondria Lysis buffer 重悬细胞，冰浴放置 10～ 15min，可用相差显微镜梱测膨胀的程度。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leftChars="0" w:right="320" w:rightChars="0" w:firstLine="35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3、匀浆：把细胞悬液转移至 Dounce 匀浆器中，匀浆 10～20 次。不同细胞或不同匀浆器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leftChars="0" w:right="1873" w:firstLine="35" w:firstLineChars="0"/>
        <w:textAlignment w:val="auto"/>
        <w:rPr>
          <w:rFonts w:hint="eastAsia" w:ascii="宋体" w:hAnsi="宋体" w:eastAsia="宋体" w:cs="宋体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leftChars="0" w:right="1873" w:firstLine="35" w:firstLineChars="0"/>
        <w:textAlignment w:val="auto"/>
        <w:rPr>
          <w:rFonts w:hint="eastAsia" w:ascii="宋体" w:hAnsi="宋体" w:eastAsia="宋体" w:cs="宋体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leftChars="0" w:right="1873" w:firstLine="35" w:firstLineChars="0"/>
        <w:textAlignment w:val="auto"/>
        <w:rPr>
          <w:rFonts w:hint="eastAsia" w:ascii="宋体" w:hAnsi="宋体" w:eastAsia="宋体" w:cs="宋体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leftChars="0" w:right="1873" w:firstLine="35" w:firstLineChars="0"/>
        <w:textAlignment w:val="auto"/>
        <w:rPr>
          <w:rFonts w:hint="eastAsia" w:ascii="宋体" w:hAnsi="宋体" w:eastAsia="宋体" w:cs="宋体"/>
        </w:rPr>
        <w:sectPr>
          <w:type w:val="continuous"/>
          <w:pgSz w:w="11900" w:h="16840"/>
          <w:pgMar w:top="660" w:right="110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leftChars="0" w:right="1873" w:firstLine="35" w:firstLineChars="0"/>
        <w:textAlignment w:val="auto"/>
        <w:rPr>
          <w:rFonts w:hint="eastAsia" w:ascii="宋体" w:hAnsi="宋体" w:eastAsia="宋体" w:cs="宋体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leftChars="0" w:right="1873" w:firstLine="35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所需的匀浆次数有所不同，需自行优化。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leftChars="0" w:right="100" w:rightChars="0" w:firstLine="35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4、台盼蓝染色(可选)：取约 2～5μl 细胞匀浆液，加入 30～50μl Trypan Blue Stain，混匀， 显微镜观察台盼蓝染色阳性(蓝色)细胞的比例，如果阳性细胞比例不足 50%，增加 5 次匀浆，随后再同前取样进行台盼蓝染色鉴定，当阳性比例超过 50%时即可停止匀浆进入下一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leftChars="0" w:right="100" w:rightChars="0" w:firstLine="35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步，但勿过度匀浆，否则易导致线粒体的机械损伤。同时记录对于该细胞的匀浆次数，在后   续实验时不必再摸索匀浆次数。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leftChars="0" w:right="1873" w:firstLine="35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5、立即取匀浆液，加入等量 Wash buffer，轻轻颠倒混匀数次。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leftChars="0" w:right="1873" w:firstLine="35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6、4℃，1300g 离心 5min 以去除细胞核、未破碎的细胞和大的膜碎片。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leftChars="0" w:right="1873" w:firstLine="35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7、上清液转移至一干净离心管，4℃ 1000g 离心 5min，重复 2 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leftChars="0" w:right="320" w:rightChars="0" w:firstLine="35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8、上清液转移至一干净离心管，4℃ 12000～15000g 离心 15min，重复 1 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leftChars="0" w:right="320" w:rightChars="0" w:firstLine="35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9、弃上清，沉淀为线粒体，如果希望获得去除线粒体的细胞浆蛋白，应在本步骤中收集上  清，并且在收集上清时注意勿触及沉淀。随后把收集的上清 </w:t>
      </w:r>
      <w:r>
        <w:rPr>
          <w:rFonts w:hint="eastAsia" w:ascii="宋体" w:hAnsi="宋体" w:eastAsia="宋体" w:cs="宋体"/>
        </w:rPr>
        <w:t xml:space="preserve">12000g，4℃离心 </w:t>
      </w:r>
      <w:r>
        <w:rPr>
          <w:rFonts w:hint="eastAsia" w:ascii="宋体" w:hAnsi="宋体" w:eastAsia="宋体" w:cs="宋体"/>
        </w:rPr>
        <w:t>10min，上清即为去除线粒体的细胞浆蛋白。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leftChars="0" w:right="320" w:rightChars="0" w:firstLine="35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10、保存：弃上清，用适当缓冲液悬浮沉淀。如果用于线粒体酶活性或功能的分析，线粒       体沉淀应重悬于 </w:t>
      </w:r>
      <w:r>
        <w:rPr>
          <w:rFonts w:hint="eastAsia" w:ascii="宋体" w:hAnsi="宋体" w:eastAsia="宋体" w:cs="宋体"/>
        </w:rPr>
        <w:t xml:space="preserve">Mitochondria </w:t>
      </w:r>
      <w:r>
        <w:rPr>
          <w:rFonts w:hint="eastAsia" w:ascii="宋体" w:hAnsi="宋体" w:eastAsia="宋体" w:cs="宋体"/>
        </w:rPr>
        <w:t xml:space="preserve">Stock </w:t>
      </w:r>
      <w:r>
        <w:rPr>
          <w:rFonts w:hint="eastAsia" w:ascii="宋体" w:hAnsi="宋体" w:eastAsia="宋体" w:cs="宋体"/>
        </w:rPr>
        <w:t xml:space="preserve">buffer；如果用于线粒体蛋白的分析，获得的细胞浆蛋白应保存于 </w:t>
      </w:r>
      <w:r>
        <w:rPr>
          <w:rFonts w:hint="eastAsia" w:ascii="宋体" w:hAnsi="宋体" w:eastAsia="宋体" w:cs="宋体"/>
        </w:rPr>
        <w:t xml:space="preserve">1×Protein </w:t>
      </w:r>
      <w:r>
        <w:rPr>
          <w:rFonts w:hint="eastAsia" w:ascii="宋体" w:hAnsi="宋体" w:eastAsia="宋体" w:cs="宋体"/>
        </w:rPr>
        <w:t xml:space="preserve">Stock </w:t>
      </w:r>
      <w:r>
        <w:rPr>
          <w:rFonts w:hint="eastAsia" w:ascii="宋体" w:hAnsi="宋体" w:eastAsia="宋体" w:cs="宋体"/>
        </w:rPr>
        <w:t xml:space="preserve">buffer，即按细胞浆蛋白：Protein </w:t>
      </w:r>
      <w:r>
        <w:rPr>
          <w:rFonts w:hint="eastAsia" w:ascii="宋体" w:hAnsi="宋体" w:eastAsia="宋体" w:cs="宋体"/>
        </w:rPr>
        <w:t xml:space="preserve">Stock </w:t>
      </w:r>
      <w:r>
        <w:rPr>
          <w:rFonts w:hint="eastAsia" w:ascii="宋体" w:hAnsi="宋体" w:eastAsia="宋体" w:cs="宋体"/>
        </w:rPr>
        <w:t xml:space="preserve">buffer </w:t>
      </w:r>
      <w:r>
        <w:rPr>
          <w:rFonts w:hint="eastAsia" w:ascii="宋体" w:hAnsi="宋体" w:eastAsia="宋体" w:cs="宋体"/>
        </w:rPr>
        <w:t>(5×)=1:4比例混合；如果用于双向电泳，应使用恰当的保存液。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2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3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leftChars="0" w:right="320" w:rightChars="0" w:firstLine="35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</w:t>
      </w:r>
      <w:r>
        <w:rPr>
          <w:rFonts w:hint="eastAsia" w:ascii="宋体" w:hAnsi="宋体" w:eastAsia="宋体" w:cs="宋体"/>
        </w:rPr>
        <w:t xml:space="preserve">试剂(如台盼蓝染色液)对于不同实验不必全部使用，在实验条件成熟后可以不必使用。    2、如果不是用于制备线粒体蛋白，Mitochondria </w:t>
      </w:r>
      <w:r>
        <w:rPr>
          <w:rFonts w:hint="eastAsia" w:ascii="宋体" w:hAnsi="宋体" w:eastAsia="宋体" w:cs="宋体"/>
        </w:rPr>
        <w:t xml:space="preserve">Lysis </w:t>
      </w:r>
      <w:r>
        <w:rPr>
          <w:rFonts w:hint="eastAsia" w:ascii="宋体" w:hAnsi="宋体" w:eastAsia="宋体" w:cs="宋体"/>
        </w:rPr>
        <w:t xml:space="preserve">buffer 和 </w:t>
      </w:r>
      <w:r>
        <w:rPr>
          <w:rFonts w:hint="eastAsia" w:ascii="宋体" w:hAnsi="宋体" w:eastAsia="宋体" w:cs="宋体"/>
        </w:rPr>
        <w:t xml:space="preserve">Wash </w:t>
      </w:r>
      <w:r>
        <w:rPr>
          <w:rFonts w:hint="eastAsia" w:ascii="宋体" w:hAnsi="宋体" w:eastAsia="宋体" w:cs="宋体"/>
        </w:rPr>
        <w:t xml:space="preserve">buffer </w:t>
      </w:r>
      <w:r>
        <w:rPr>
          <w:rFonts w:hint="eastAsia" w:ascii="宋体" w:hAnsi="宋体" w:eastAsia="宋体" w:cs="宋体"/>
        </w:rPr>
        <w:t>中不必加入 PMSF。如果用于制备线粒体蛋白样品，Mitochondria Lysis buffer 和 Wash buffer 中需添加 PMSF。</w:t>
      </w:r>
      <w:r>
        <w:rPr>
          <w:rFonts w:hint="eastAsia" w:ascii="宋体" w:hAnsi="宋体" w:eastAsia="宋体" w:cs="宋体"/>
        </w:rPr>
        <w:t>PMSF 一定要在试剂加入到样品中前 1～2min 内加入，以免 PMSF 在水溶液中很快失效。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leftChars="0" w:right="320" w:rightChars="0" w:firstLine="35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3、分离线粒体的所有步骤均需在冰上或 4℃进行，所用溶液需冰浴或 4℃预冷，全部操作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leftChars="0" w:right="320" w:rightChars="0" w:firstLine="35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时间尽量控制在 1h 以内。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leftChars="0" w:right="320" w:rightChars="0" w:firstLine="35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4、通常在分离线粒体时前后两次离心速度选取 1000g 和 15000g，如果希望纯度更高，但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leftChars="0" w:right="320" w:rightChars="0" w:firstLine="35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对线粒体的得率要求不高，前后两次离心速度可用 2000g 和 6000g。</w:t>
      </w:r>
      <w:r>
        <w:rPr>
          <w:rFonts w:hint="eastAsia" w:ascii="宋体" w:hAnsi="宋体" w:eastAsia="宋体" w:cs="宋体"/>
        </w:rPr>
        <w:t>5、</w:t>
      </w:r>
      <w:r>
        <w:rPr>
          <w:rFonts w:hint="eastAsia" w:ascii="宋体" w:hAnsi="宋体" w:eastAsia="宋体" w:cs="宋体"/>
        </w:rPr>
        <w:t>为了您的安全和健康，请穿实验服并戴一次性手套操作。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0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both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pgSz w:w="11900" w:h="16840"/>
      <w:pgMar w:top="1600" w:right="11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52845" o:spid="_x0000_s2050" o:spt="136" type="#_x0000_t136" style="position:absolute;left:0pt;height:72pt;width:572.8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3910965</wp:posOffset>
              </wp:positionH>
              <wp:positionV relativeFrom="paragraph">
                <wp:posOffset>-8890</wp:posOffset>
              </wp:positionV>
              <wp:extent cx="1870075" cy="865505"/>
              <wp:effectExtent l="0" t="0" r="15875" b="1079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77765" y="461010"/>
                        <a:ext cx="1870075" cy="865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7.95pt;margin-top:-0.7pt;height:68.15pt;width:147.25pt;z-index:251658240;mso-width-relative:page;mso-height-relative:page;" fillcolor="#FFFFFF" filled="t" stroked="f" coordsize="21600,21600" o:gfxdata="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EHeTAjYAAAACgEAAA8AAAAAAAAAAQAgAAAAIgAAAGRycy9kb3du&#10;cmV2LnhtbFBLAQIUABQAAAAIAIdO4kDdfyeCxgEAAFQDAAAOAAAAAAAAAAEAIAAAACcBAABkcnMv&#10;ZTJvRG9jLnhtbFBLBQYAAAAABgAGAFkBAAB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F02C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405"/>
    </w:pPr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pPr>
      <w:spacing w:line="376" w:lineRule="exact"/>
      <w:ind w:left="50"/>
    </w:pPr>
    <w:rPr>
      <w:rFonts w:ascii="微软雅黑" w:hAnsi="微软雅黑" w:eastAsia="微软雅黑" w:cs="微软雅黑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2019-04-23T02:48:00Z</dcterms:created>
  <dc:creator>94099</dc:creator>
  <cp:lastModifiedBy>Cute  princess</cp:lastModifiedBy>
  <dcterms:modified xsi:type="dcterms:W3CDTF">2019-04-23T02:57:26Z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2019-04-23T00:00:00Z</vt:filetime>
  </property>
  <property fmtid="{D5CDD505-2E9C-101B-9397-08002B2CF9AE}" pid="5" name="KSOProductBuildVer">
    <vt:lpwstr>2052-11.1.0.8612</vt:lpwstr>
  </property>
</Properties>
</file>