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18"/>
        </w:rPr>
      </w:pPr>
    </w:p>
    <w:p>
      <w:pPr>
        <w:spacing w:after="0"/>
        <w:rPr>
          <w:sz w:val="18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3"/>
        <w:spacing w:before="8"/>
        <w:rPr>
          <w:b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瑞氏染色液(Wright Stain)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757"/>
            <w:col w:w="671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瑞氏色素是酸性染料伊红(Eosin)和碱性染料亚甲蓝(Methylene Blue)组成的复合染料,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5" w:leftChars="0" w:hanging="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对原生质的染色有很好的区别作用。各种细胞成分化学性质不同，对各种染料的亲和力也不   一样，如血红蛋白、嗜酸性颗粒为碱性蛋白质，与酸性染料伊红结合，染粉红色，称为嗜酸性物质；细胞核蛋白、淋巴细胞、嗜碱性粒细胞胞质为酸性，与碱性染料结合后，染紫蓝色或蓝色，称为嗜碱性物质；中性颗粒呈等电状态与伊红和美蓝均可结合，染淡紫红色，称为嗜中性物质。原始红细胞、早幼红细胞胞质、核仁含较多酸性物质，染成较浓厚的蓝色；中幼红细胞既含酸性物质，又含碱性物质，染成红蓝色或灰红色；完全成熟红细胞，酸性物质彻底消失后，染成粉红色。瑞氏染液为蓝色澄明液体，有甲醇特异香味，主要由美蓝、伊红、甲醇等组成，其中甲醇的作用是溶解美蓝和伊红以及固定细胞形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Wright </w:t>
      </w:r>
      <w:r>
        <w:rPr>
          <w:rFonts w:hint="eastAsia" w:ascii="宋体" w:hAnsi="宋体" w:eastAsia="宋体" w:cs="宋体"/>
        </w:rPr>
        <w:t xml:space="preserve">Stain   </w:t>
      </w:r>
      <w:r>
        <w:rPr>
          <w:rFonts w:hint="eastAsia" w:ascii="宋体" w:hAnsi="宋体" w:eastAsia="宋体" w:cs="宋体"/>
        </w:rPr>
        <w:t xml:space="preserve">以进口瑞氏色素为主要原料，通过研磨配制而成，能呈现出清晰的细胞染色效果。该染液的特点：由 Wright Stain 和磷酸盐缓冲液组成，直接使用，无需任何配制过程，染液中加微量中性甘油，防止甲醇挥发或氧化，同时也可使血细胞染色较 </w:t>
      </w:r>
      <w:r>
        <w:rPr>
          <w:rFonts w:hint="eastAsia" w:ascii="宋体" w:hAnsi="宋体" w:eastAsia="宋体" w:cs="宋体"/>
        </w:rPr>
        <w:t>清晰。经常用于血液和细胞涂片、骨髓细胞涂片、细菌染色。细胞质呈红色，细胞核及细菌呈蓝色，嗜酸性颗粒呈橘红色。</w:t>
      </w:r>
    </w:p>
    <w:p>
      <w:pPr>
        <w:pStyle w:val="3"/>
        <w:spacing w:before="6"/>
        <w:rPr>
          <w:rFonts w:hint="eastAsia" w:ascii="宋体" w:hAnsi="宋体" w:eastAsia="宋体" w:cs="宋体"/>
          <w:sz w:val="2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9"/>
        <w:rPr>
          <w:rFonts w:ascii="Malgun Gothic"/>
          <w:b/>
          <w:sz w:val="23"/>
        </w:rPr>
      </w:pPr>
    </w:p>
    <w:p>
      <w:pPr>
        <w:pStyle w:val="3"/>
        <w:tabs>
          <w:tab w:val="left" w:pos="5609"/>
        </w:tabs>
        <w:ind w:left="4460"/>
        <w:rPr>
          <w:rFonts w:ascii="微软雅黑" w:hAnsi="微软雅黑"/>
        </w:rPr>
      </w:pPr>
      <w:r>
        <w:rPr>
          <w:rFonts w:ascii="微软雅黑" w:hAnsi="微软雅黑"/>
        </w:rPr>
        <w:t>2×100ml</w:t>
      </w:r>
      <w:r>
        <w:rPr>
          <w:rFonts w:ascii="微软雅黑" w:hAnsi="微软雅黑"/>
        </w:rPr>
        <w:tab/>
      </w:r>
      <w:r>
        <w:rPr>
          <w:rFonts w:ascii="微软雅黑" w:hAnsi="微软雅黑"/>
        </w:rPr>
        <w:t>2×500ml</w:t>
      </w:r>
    </w:p>
    <w:p>
      <w:pPr>
        <w:spacing w:after="0"/>
        <w:rPr>
          <w:rFonts w:ascii="微软雅黑" w:hAnsi="微软雅黑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spacing w:before="33"/>
        <w:ind w:left="159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 Wright Stain</w:t>
      </w:r>
    </w:p>
    <w:p>
      <w:pPr>
        <w:pStyle w:val="3"/>
        <w:spacing w:before="29"/>
        <w:ind w:left="159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t>磷酸</w:t>
      </w:r>
      <w:r>
        <w:rPr>
          <w:rFonts w:hint="eastAsia" w:ascii="宋体" w:eastAsia="宋体"/>
        </w:rPr>
        <w:t>盐缓</w:t>
      </w:r>
      <w:r>
        <w:t>冲液</w:t>
      </w:r>
    </w:p>
    <w:p>
      <w:pPr>
        <w:pStyle w:val="3"/>
        <w:spacing w:before="33" w:line="256" w:lineRule="auto"/>
        <w:ind w:left="852" w:right="-16"/>
        <w:rPr>
          <w:rFonts w:ascii="微软雅黑"/>
        </w:rPr>
      </w:pPr>
      <w:r>
        <w:br w:type="column"/>
      </w:r>
      <w:r>
        <w:rPr>
          <w:rFonts w:ascii="微软雅黑"/>
          <w:spacing w:val="-1"/>
        </w:rPr>
        <w:t>100ml 100ml</w:t>
      </w:r>
    </w:p>
    <w:p>
      <w:pPr>
        <w:pStyle w:val="3"/>
        <w:spacing w:before="33" w:line="256" w:lineRule="auto"/>
        <w:ind w:left="464" w:right="-20"/>
        <w:rPr>
          <w:rFonts w:ascii="微软雅黑"/>
        </w:rPr>
      </w:pPr>
      <w:r>
        <w:br w:type="column"/>
      </w:r>
      <w:r>
        <w:rPr>
          <w:rFonts w:ascii="微软雅黑"/>
        </w:rPr>
        <w:t>500ml 500ml</w:t>
      </w:r>
    </w:p>
    <w:p>
      <w:pPr>
        <w:pStyle w:val="3"/>
        <w:spacing w:before="33"/>
        <w:ind w:left="314"/>
      </w:pPr>
      <w:r>
        <w:br w:type="column"/>
      </w: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pStyle w:val="3"/>
        <w:spacing w:before="63"/>
        <w:ind w:left="314"/>
        <w:rPr>
          <w:rFonts w:ascii="微软雅黑"/>
        </w:rPr>
      </w:pPr>
      <w:r>
        <w:rPr>
          <w:rFonts w:ascii="微软雅黑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4">
            <w:col w:w="3719" w:space="40"/>
            <w:col w:w="1474" w:space="39"/>
            <w:col w:w="1087" w:space="40"/>
            <w:col w:w="2721"/>
          </w:cols>
        </w:sectPr>
      </w:pPr>
    </w:p>
    <w:p>
      <w:pPr>
        <w:pStyle w:val="3"/>
        <w:spacing w:before="14"/>
        <w:rPr>
          <w:rFonts w:ascii="微软雅黑"/>
          <w:sz w:val="1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载玻片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染色架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spacing w:val="-30"/>
          <w:w w:val="125"/>
        </w:rPr>
        <w:t xml:space="preserve">、 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1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1、常规方法制备血液涂片或骨髓涂片或细菌涂片，待涂片自然干燥。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2、将血液涂片或骨髓涂片置于染色架上。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3、滴加适量 Wright Stain 覆盖涂片，室温染色 1～2min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60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4、涂片滴加等量磷酸盐缓冲液，轻轻晃动玻片或采用其他方式混合，使磷酸盐缓冲液与Wright Stain 混匀，室温静置 3～10min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765" w:right="36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5、用自来水或蒸馏水从玻片一端轻轻冲洗。(注:  也可先用磷酸盐缓冲液冲洗玻片，时间控制在 30s 左右。)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6、干燥。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镜检: 先用低倍镜观察血涂片，再用油镜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4" w:line="35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染色结</w:t>
      </w:r>
      <w:r>
        <w:rPr>
          <w:rFonts w:hint="eastAsia" w:ascii="宋体" w:hAnsi="宋体" w:eastAsia="宋体" w:cs="宋体"/>
          <w:lang w:val="en-US" w:eastAsia="zh-CN"/>
        </w:rPr>
        <w:t>果：</w:t>
      </w:r>
    </w:p>
    <w:p>
      <w:pPr>
        <w:pStyle w:val="3"/>
        <w:rPr>
          <w:rFonts w:ascii="Malgun Gothic"/>
          <w:b/>
          <w:sz w:val="22"/>
        </w:rPr>
      </w:pPr>
      <w:r>
        <w:br w:type="column"/>
      </w:r>
    </w:p>
    <w:p>
      <w:pPr>
        <w:pStyle w:val="3"/>
        <w:spacing w:before="5"/>
        <w:rPr>
          <w:rFonts w:ascii="Malgun Gothic"/>
          <w:b/>
          <w:sz w:val="13"/>
        </w:rPr>
      </w:pPr>
    </w:p>
    <w:p>
      <w:pPr>
        <w:pStyle w:val="3"/>
        <w:tabs>
          <w:tab w:val="left" w:pos="3325"/>
        </w:tabs>
        <w:ind w:left="262"/>
      </w:pPr>
      <w:r>
        <w:rPr>
          <w:rFonts w:hint="eastAsia" w:ascii="宋体" w:eastAsia="宋体"/>
          <w:w w:val="105"/>
        </w:rPr>
        <w:t>细</w:t>
      </w:r>
      <w:r>
        <w:rPr>
          <w:w w:val="105"/>
        </w:rPr>
        <w:t>菌、</w:t>
      </w:r>
      <w:r>
        <w:rPr>
          <w:rFonts w:hint="eastAsia" w:ascii="宋体" w:eastAsia="宋体"/>
          <w:w w:val="105"/>
        </w:rPr>
        <w:t>细</w:t>
      </w:r>
      <w:r>
        <w:rPr>
          <w:w w:val="105"/>
        </w:rPr>
        <w:t>胞核</w:t>
      </w:r>
      <w:r>
        <w:rPr>
          <w:w w:val="105"/>
        </w:rPr>
        <w:tab/>
      </w:r>
      <w:r>
        <w:rPr>
          <w:rFonts w:hint="eastAsia" w:ascii="宋体" w:eastAsia="宋体"/>
          <w:w w:val="105"/>
        </w:rPr>
        <w:t>蓝</w:t>
      </w:r>
      <w:r>
        <w:rPr>
          <w:w w:val="105"/>
        </w:rPr>
        <w:t>色</w:t>
      </w:r>
    </w:p>
    <w:p>
      <w:pPr>
        <w:pStyle w:val="3"/>
        <w:tabs>
          <w:tab w:val="left" w:pos="3325"/>
        </w:tabs>
        <w:spacing w:before="136"/>
        <w:ind w:left="262"/>
      </w:pPr>
      <w:r>
        <w:t>嗜酸性</w:t>
      </w:r>
      <w:r>
        <w:rPr>
          <w:rFonts w:hint="eastAsia" w:ascii="宋体" w:eastAsia="宋体"/>
        </w:rPr>
        <w:t>颗</w:t>
      </w:r>
      <w:r>
        <w:t>粒</w:t>
      </w:r>
      <w:r>
        <w:tab/>
      </w:r>
      <w:r>
        <w:t>粉</w:t>
      </w:r>
      <w:r>
        <w:rPr>
          <w:rFonts w:hint="eastAsia" w:ascii="宋体" w:eastAsia="宋体"/>
        </w:rPr>
        <w:t>红</w:t>
      </w:r>
      <w:r>
        <w:t>或橘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spacing w:before="151" w:line="338" w:lineRule="auto"/>
        <w:ind w:left="1907"/>
      </w:pPr>
      <w:r>
        <w:t>淋巴</w:t>
      </w:r>
      <w:r>
        <w:rPr>
          <w:rFonts w:hint="eastAsia" w:ascii="宋体" w:eastAsia="宋体"/>
        </w:rPr>
        <w:t>细</w:t>
      </w:r>
      <w:r>
        <w:t>胞、嗜碱性粒</w:t>
      </w:r>
      <w:r>
        <w:rPr>
          <w:rFonts w:hint="eastAsia" w:ascii="宋体" w:eastAsia="宋体"/>
        </w:rPr>
        <w:t>细</w:t>
      </w:r>
      <w:r>
        <w:t>胞胞</w:t>
      </w:r>
      <w:r>
        <w:rPr>
          <w:rFonts w:hint="eastAsia" w:ascii="宋体" w:eastAsia="宋体"/>
        </w:rPr>
        <w:t>质</w:t>
      </w:r>
      <w:r>
        <w:t>完全成熟</w:t>
      </w:r>
      <w:r>
        <w:rPr>
          <w:rFonts w:hint="eastAsia" w:ascii="宋体" w:eastAsia="宋体"/>
        </w:rPr>
        <w:t>红细</w:t>
      </w:r>
      <w:r>
        <w:t>胞</w:t>
      </w:r>
    </w:p>
    <w:p>
      <w:pPr>
        <w:pStyle w:val="3"/>
        <w:spacing w:before="122" w:line="364" w:lineRule="auto"/>
        <w:ind w:left="293" w:right="2887"/>
      </w:pPr>
      <w:r>
        <w:br w:type="column"/>
      </w:r>
      <w:r>
        <w:t>紫</w:t>
      </w:r>
      <w:r>
        <w:rPr>
          <w:rFonts w:hint="eastAsia" w:ascii="宋体" w:eastAsia="宋体"/>
        </w:rPr>
        <w:t>蓝</w:t>
      </w:r>
      <w:r>
        <w:t>色或</w:t>
      </w:r>
      <w:r>
        <w:rPr>
          <w:rFonts w:hint="eastAsia" w:ascii="宋体" w:eastAsia="宋体"/>
        </w:rPr>
        <w:t>蓝</w:t>
      </w:r>
      <w:r>
        <w:t>色粉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 w:line="364" w:lineRule="auto"/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4638" w:space="40"/>
            <w:col w:w="4442"/>
          </w:cols>
        </w:sectPr>
      </w:pPr>
    </w:p>
    <w:p>
      <w:pPr>
        <w:pStyle w:val="3"/>
        <w:spacing w:before="11"/>
        <w:rPr>
          <w:sz w:val="2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</w:t>
      </w:r>
      <w:r>
        <w:rPr>
          <w:rFonts w:hint="eastAsia" w:ascii="宋体" w:hAnsi="宋体" w:eastAsia="宋体" w:cs="宋体"/>
        </w:rPr>
        <w:t>血液涂片或骨髓涂片应厚薄均匀，以免影响染色效果。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2、涂片染色中，请勿先去除染液或直接对涂片用力冲洗。不能先倒掉染液，以免染料沉着  于涂片上。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3、染色液可重复使用，但不能多次重复，若有沉淀物应过滤后使用。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4、染色过深可用甲醇或酒精适当脱色，最好不复染。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5、如果染色过深或过浅，应调整染色时间或工作液浓度。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6、pH 值对染色有一定影响，载玻片应清洁、无酸碱污染，以免影响染色效果。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9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24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60"/>
        <w:tab w:val="clear" w:pos="4153"/>
      </w:tabs>
      <w:rPr>
        <w:rFonts w:hint="eastAsia" w:eastAsia="宋体"/>
        <w:lang w:eastAsia="zh-CN"/>
      </w:rPr>
    </w:pPr>
    <w:r>
      <w:rPr>
        <w:sz w:val="32"/>
      </w:rPr>
      <w:pict>
        <v:shape id="PowerPlusWaterMarkObject29499" o:spid="_x0000_s2051" o:spt="136" type="#_x0000_t136" style="position:absolute;left:0pt;height:72pt;width:572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4092575</wp:posOffset>
              </wp:positionH>
              <wp:positionV relativeFrom="paragraph">
                <wp:posOffset>-8890</wp:posOffset>
              </wp:positionV>
              <wp:extent cx="1765935" cy="875665"/>
              <wp:effectExtent l="0" t="0" r="5715" b="635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59375" y="461010"/>
                        <a:ext cx="1765935" cy="875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2.25pt;margin-top:-0.7pt;height:68.95pt;width:139.05pt;z-index:251659264;mso-width-relative:page;mso-height-relative:page;" fillcolor="#FFFFFF" filled="t" stroked="f" coordsize="21600,21600" o:gfxdata="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5SGNNgAAAAKAQAADwAAAAAAAAABACAAAAAiAAAAZHJzL2Rvd25y&#10;ZXYueG1sUEsBAhQAFAAAAAgAh07iQIAlSWH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b/>
        <w:sz w:val="32"/>
        <w:szCs w:val="32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33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2019-06-11T01:54:00Z</dcterms:created>
  <dc:creator>94099</dc:creator>
  <cp:lastModifiedBy>Cute  princess</cp:lastModifiedBy>
  <dcterms:modified xsi:type="dcterms:W3CDTF">2019-06-11T02:04:41Z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2019-06-11T00:00:00Z</vt:filetime>
  </property>
  <property fmtid="{D5CDD505-2E9C-101B-9397-08002B2CF9AE}" pid="5" name="KSOProductBuildVer">
    <vt:lpwstr>2052-11.1.0.8696</vt:lpwstr>
  </property>
</Properties>
</file>