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361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3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QdutNcAAAAMAQAA&#10;DwAAAAAAAAABACAAAAAiAAAAZHJzL2Rvd25yZXYueG1sUEsBAhQAFAAAAAgAh07iQFNbocjhAQAA&#10;qQ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1"/>
        <w:rPr>
          <w:rFonts w:hint="eastAsia" w:ascii="宋体" w:hAnsi="宋体" w:eastAsia="宋体" w:cs="宋体"/>
          <w:sz w:val="16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rPr>
          <w:rFonts w:hint="eastAsia" w:ascii="宋体" w:hAnsi="宋体" w:eastAsia="宋体" w:cs="宋体"/>
          <w:sz w:val="18"/>
        </w:rPr>
        <w:sectPr>
          <w:headerReference r:id="rId3" w:type="default"/>
          <w:type w:val="continuous"/>
          <w:pgSz w:w="11900" w:h="16840"/>
          <w:pgMar w:top="660" w:right="440" w:bottom="280" w:left="2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tabs>
          <w:tab w:val="left" w:pos="3065"/>
        </w:tabs>
        <w:spacing w:before="0" w:line="511" w:lineRule="exact"/>
        <w:ind w:left="18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ELISA</w:t>
      </w:r>
      <w:r>
        <w:rPr>
          <w:rFonts w:hint="eastAsia" w:ascii="宋体" w:hAnsi="宋体" w:eastAsia="宋体" w:cs="宋体"/>
          <w:b/>
          <w:sz w:val="30"/>
        </w:rPr>
        <w:tab/>
      </w:r>
      <w:r>
        <w:rPr>
          <w:rFonts w:hint="eastAsia" w:ascii="宋体" w:hAnsi="宋体" w:eastAsia="宋体" w:cs="宋体"/>
          <w:b/>
          <w:sz w:val="30"/>
        </w:rPr>
        <w:t>终</w:t>
      </w:r>
      <w:r>
        <w:rPr>
          <w:rFonts w:hint="eastAsia" w:ascii="宋体" w:hAnsi="宋体" w:eastAsia="宋体" w:cs="宋体"/>
          <w:b/>
          <w:sz w:val="30"/>
        </w:rPr>
        <w:t>止液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440" w:bottom="280" w:left="280" w:header="720" w:footer="720" w:gutter="0"/>
          <w:cols w:equalWidth="0" w:num="2">
            <w:col w:w="3046" w:space="109"/>
            <w:col w:w="8025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9090"/>
          <w:tab w:val="left" w:pos="9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400" w:lineRule="exact"/>
        <w:ind w:left="1760" w:leftChars="0" w:right="1058" w:rightChars="481" w:firstLine="297" w:firstLineChars="13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溶液</w:t>
      </w:r>
      <w:r>
        <w:rPr>
          <w:rFonts w:hint="eastAsia" w:ascii="宋体" w:hAnsi="宋体" w:eastAsia="宋体" w:cs="宋体"/>
          <w:w w:val="105"/>
        </w:rPr>
        <w:t>(Balanced</w:t>
      </w:r>
      <w:r>
        <w:rPr>
          <w:rFonts w:hint="eastAsia" w:ascii="宋体" w:hAnsi="宋体" w:eastAsia="宋体" w:cs="宋体"/>
          <w:spacing w:val="-8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Salt</w:t>
      </w:r>
      <w:r>
        <w:rPr>
          <w:rFonts w:hint="eastAsia" w:ascii="宋体" w:hAnsi="宋体" w:eastAsia="宋体" w:cs="宋体"/>
          <w:spacing w:val="-8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Solution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BSS)</w:t>
      </w:r>
      <w:r>
        <w:rPr>
          <w:rFonts w:hint="eastAsia" w:ascii="宋体" w:hAnsi="宋体" w:eastAsia="宋体" w:cs="宋体"/>
          <w:w w:val="105"/>
        </w:rPr>
        <w:t>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w w:val="105"/>
        </w:rPr>
        <w:t>下的pH值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渗</w:t>
      </w:r>
      <w:r>
        <w:rPr>
          <w:rFonts w:hint="eastAsia" w:ascii="宋体" w:hAnsi="宋体" w:eastAsia="宋体" w:cs="宋体"/>
          <w:w w:val="105"/>
        </w:rPr>
        <w:t>透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  <w:spacing w:val="-20"/>
        </w:rPr>
        <w:t xml:space="preserve">成 </w:t>
      </w:r>
      <w:r>
        <w:rPr>
          <w:rFonts w:hint="eastAsia" w:ascii="宋体" w:hAnsi="宋体" w:eastAsia="宋体" w:cs="宋体"/>
        </w:rPr>
        <w:t>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持一定的代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198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ELISA 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</w:rPr>
        <w:t>止液呈酸性，主要用于</w:t>
      </w:r>
      <w:r>
        <w:rPr>
          <w:rFonts w:hint="eastAsia" w:ascii="宋体" w:hAnsi="宋体" w:eastAsia="宋体" w:cs="宋体"/>
        </w:rPr>
        <w:t>终</w:t>
      </w:r>
      <w:r>
        <w:rPr>
          <w:rFonts w:hint="eastAsia" w:ascii="宋体" w:hAnsi="宋体" w:eastAsia="宋体" w:cs="宋体"/>
        </w:rPr>
        <w:t xml:space="preserve">止 </w:t>
      </w:r>
      <w:r>
        <w:rPr>
          <w:rFonts w:hint="eastAsia" w:ascii="宋体" w:hAnsi="宋体" w:eastAsia="宋体" w:cs="宋体"/>
        </w:rPr>
        <w:t xml:space="preserve">ELISA </w:t>
      </w:r>
      <w:r>
        <w:rPr>
          <w:rFonts w:hint="eastAsia" w:ascii="宋体" w:hAnsi="宋体" w:eastAsia="宋体" w:cs="宋体"/>
        </w:rPr>
        <w:t>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 xml:space="preserve">该试剂为 </w:t>
      </w:r>
      <w:r>
        <w:rPr>
          <w:rFonts w:hint="eastAsia" w:ascii="宋体" w:hAnsi="宋体" w:eastAsia="宋体" w:cs="宋体"/>
        </w:rPr>
        <w:t>1×</w:t>
      </w:r>
      <w:r>
        <w:rPr>
          <w:rFonts w:hint="eastAsia" w:ascii="宋体" w:hAnsi="宋体" w:eastAsia="宋体" w:cs="宋体"/>
        </w:rPr>
        <w:t>工作液，直接</w:t>
      </w:r>
      <w:r>
        <w:rPr>
          <w:rFonts w:hint="eastAsia" w:ascii="宋体" w:hAnsi="宋体" w:eastAsia="宋体" w:cs="宋体"/>
          <w:w w:val="115"/>
        </w:rPr>
        <w:t>使用。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1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6"/>
        </w:rPr>
      </w:pPr>
    </w:p>
    <w:p>
      <w:pPr>
        <w:tabs>
          <w:tab w:val="left" w:pos="1329"/>
          <w:tab w:val="left" w:pos="3105"/>
          <w:tab w:val="left" w:pos="4095"/>
          <w:tab w:val="left" w:pos="5267"/>
        </w:tabs>
        <w:spacing w:before="0"/>
        <w:ind w:left="447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ELISA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1"/>
        </w:rPr>
        <w:t>终</w:t>
      </w:r>
      <w:r>
        <w:rPr>
          <w:rFonts w:hint="eastAsia" w:ascii="宋体" w:hAnsi="宋体" w:eastAsia="宋体" w:cs="宋体"/>
          <w:sz w:val="21"/>
        </w:rPr>
        <w:t>止液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rPr>
          <w:rFonts w:hint="eastAsia" w:ascii="宋体" w:hAnsi="宋体" w:eastAsia="宋体" w:cs="宋体"/>
          <w:sz w:val="24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00" w:lineRule="exact"/>
        <w:ind w:left="18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3" w:line="300" w:lineRule="exact"/>
        <w:ind w:left="18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、洗</w:t>
      </w:r>
      <w:r>
        <w:rPr>
          <w:rFonts w:hint="eastAsia" w:ascii="宋体" w:hAnsi="宋体" w:eastAsia="宋体" w:cs="宋体"/>
          <w:w w:val="110"/>
        </w:rPr>
        <w:t>涤</w:t>
      </w:r>
      <w:r>
        <w:rPr>
          <w:rFonts w:hint="eastAsia" w:ascii="宋体" w:hAnsi="宋体" w:eastAsia="宋体" w:cs="宋体"/>
          <w:w w:val="110"/>
        </w:rPr>
        <w:t>后，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w w:val="110"/>
        </w:rPr>
        <w:t>孔加入底物溶液，室温反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恰当的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57"/>
          <w:tab w:val="left" w:pos="47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7" w:line="300" w:lineRule="exact"/>
        <w:ind w:left="18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孔加入</w:t>
      </w:r>
      <w:r>
        <w:rPr>
          <w:rFonts w:hint="eastAsia" w:ascii="宋体" w:hAnsi="宋体" w:eastAsia="宋体" w:cs="宋体"/>
          <w:spacing w:val="44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>μ</w:t>
      </w:r>
      <w:r>
        <w:rPr>
          <w:rFonts w:hint="eastAsia" w:ascii="宋体" w:hAnsi="宋体" w:eastAsia="宋体" w:cs="宋体"/>
          <w:w w:val="105"/>
        </w:rPr>
        <w:t>l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ELISA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终</w:t>
      </w:r>
      <w:r>
        <w:rPr>
          <w:rFonts w:hint="eastAsia" w:ascii="宋体" w:hAnsi="宋体" w:eastAsia="宋体" w:cs="宋体"/>
          <w:w w:val="105"/>
        </w:rPr>
        <w:t>止液，</w:t>
      </w:r>
      <w:r>
        <w:rPr>
          <w:rFonts w:hint="eastAsia" w:ascii="宋体" w:hAnsi="宋体" w:eastAsia="宋体" w:cs="宋体"/>
          <w:w w:val="105"/>
        </w:rPr>
        <w:t>终</w:t>
      </w:r>
      <w:r>
        <w:rPr>
          <w:rFonts w:hint="eastAsia" w:ascii="宋体" w:hAnsi="宋体" w:eastAsia="宋体" w:cs="宋体"/>
          <w:w w:val="105"/>
        </w:rPr>
        <w:t>止反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1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300" w:lineRule="exact"/>
        <w:ind w:left="18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测</w:t>
      </w:r>
      <w:r>
        <w:rPr>
          <w:rFonts w:hint="eastAsia" w:ascii="宋体" w:hAnsi="宋体" w:eastAsia="宋体" w:cs="宋体"/>
          <w:w w:val="110"/>
        </w:rPr>
        <w:t>定</w:t>
      </w:r>
      <w:r>
        <w:rPr>
          <w:rFonts w:hint="eastAsia" w:ascii="宋体" w:hAnsi="宋体" w:eastAsia="宋体" w:cs="宋体"/>
          <w:spacing w:val="32"/>
          <w:w w:val="110"/>
        </w:rPr>
        <w:t xml:space="preserve"> </w:t>
      </w:r>
      <w:r>
        <w:rPr>
          <w:rFonts w:hint="eastAsia" w:ascii="宋体" w:hAnsi="宋体" w:eastAsia="宋体" w:cs="宋体"/>
          <w:w w:val="110"/>
        </w:rPr>
        <w:t>OD</w:t>
      </w:r>
      <w:r>
        <w:rPr>
          <w:rFonts w:hint="eastAsia" w:ascii="宋体" w:hAnsi="宋体" w:eastAsia="宋体" w:cs="宋体"/>
          <w:w w:val="110"/>
        </w:rPr>
        <w:tab/>
      </w:r>
      <w:r>
        <w:rPr>
          <w:rFonts w:hint="eastAsia" w:ascii="宋体" w:hAnsi="宋体" w:eastAsia="宋体" w:cs="宋体"/>
          <w:w w:val="110"/>
        </w:rPr>
        <w:t>值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0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00" w:lineRule="exact"/>
        <w:textAlignment w:val="auto"/>
        <w:rPr>
          <w:rFonts w:hint="eastAsia" w:ascii="宋体" w:hAnsi="宋体" w:eastAsia="宋体" w:cs="宋体"/>
          <w:sz w:val="3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00" w:lineRule="exact"/>
        <w:ind w:left="18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、注意密</w:t>
      </w:r>
      <w:r>
        <w:rPr>
          <w:rFonts w:hint="eastAsia" w:ascii="宋体" w:hAnsi="宋体" w:eastAsia="宋体" w:cs="宋体"/>
          <w:w w:val="110"/>
        </w:rPr>
        <w:t>闭</w:t>
      </w:r>
      <w:r>
        <w:rPr>
          <w:rFonts w:hint="eastAsia" w:ascii="宋体" w:hAnsi="宋体" w:eastAsia="宋体" w:cs="宋体"/>
          <w:w w:val="110"/>
        </w:rPr>
        <w:t>保存，避免</w:t>
      </w:r>
      <w:r>
        <w:rPr>
          <w:rFonts w:hint="eastAsia" w:ascii="宋体" w:hAnsi="宋体" w:eastAsia="宋体" w:cs="宋体"/>
          <w:w w:val="110"/>
        </w:rPr>
        <w:t>挥发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line="300" w:lineRule="exact"/>
        <w:ind w:left="18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0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00" w:lineRule="exact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31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left="18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w w:val="105"/>
          <w:sz w:val="21"/>
        </w:rPr>
        <w:tab/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707"/>
        </w:tabs>
        <w:spacing w:before="101"/>
        <w:ind w:right="0"/>
        <w:jc w:val="both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440" w:bottom="280" w:left="2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865" w:leftChars="0" w:hanging="865" w:hangingChars="481"/>
      <w:rPr>
        <w:rFonts w:hint="default" w:eastAsia="宋体"/>
        <w:lang w:val="en-US" w:eastAsia="zh-CN"/>
      </w:rPr>
    </w:pPr>
    <w:r>
      <w:rPr>
        <w:sz w:val="18"/>
      </w:rPr>
      <w:pict>
        <v:shape id="PowerPlusWaterMarkObject117952" o:spid="_x0000_s2050" o:spt="136" type="#_x0000_t136" style="position:absolute;left:0pt;height:88.25pt;width:702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4635500</wp:posOffset>
              </wp:positionH>
              <wp:positionV relativeFrom="paragraph">
                <wp:posOffset>-635</wp:posOffset>
              </wp:positionV>
              <wp:extent cx="1818005" cy="848995"/>
              <wp:effectExtent l="0" t="0" r="1079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59375" y="469265"/>
                        <a:ext cx="1818005" cy="848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5pt;margin-top:-0.05pt;height:66.85pt;width:143.15pt;z-index:251658240;mso-width-relative:page;mso-height-relative:page;" fillcolor="#FFFFFF" filled="t" stroked="f" coordsize="21600,21600" o:gfxdata="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qxK8tgAAAAKAQAADwAAAAAAAAABACAAAAAiAAAAZHJzL2Rv&#10;d25yZXYueG1sUEsBAhQAFAAAAAgAh07iQEatjrf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                              </w: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932D3"/>
    <w:rsid w:val="77E74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fr-FR" w:eastAsia="fr-FR" w:bidi="fr-FR"/>
    </w:rPr>
  </w:style>
  <w:style w:type="paragraph" w:styleId="2">
    <w:name w:val="heading 1"/>
    <w:basedOn w:val="1"/>
    <w:next w:val="1"/>
    <w:qFormat/>
    <w:uiPriority w:val="1"/>
    <w:pPr>
      <w:ind w:left="1805"/>
      <w:outlineLvl w:val="1"/>
    </w:pPr>
    <w:rPr>
      <w:rFonts w:ascii="Malgun Gothic" w:hAnsi="Malgun Gothic" w:eastAsia="Malgun Gothic" w:cs="Malgun Gothic"/>
      <w:b/>
      <w:bCs/>
      <w:sz w:val="24"/>
      <w:szCs w:val="24"/>
      <w:lang w:val="fr-FR" w:eastAsia="fr-FR" w:bidi="fr-F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fr-FR" w:eastAsia="fr-FR" w:bidi="fr-F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fr-FR" w:eastAsia="fr-FR" w:bidi="fr-FR"/>
    </w:rPr>
  </w:style>
  <w:style w:type="paragraph" w:customStyle="1" w:styleId="11">
    <w:name w:val="Table Paragraph"/>
    <w:basedOn w:val="1"/>
    <w:qFormat/>
    <w:uiPriority w:val="1"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2019-04-09T01:50:00Z</dcterms:created>
  <dc:creator>94099</dc:creator>
  <cp:lastModifiedBy>Cute  princess</cp:lastModifiedBy>
  <dcterms:modified xsi:type="dcterms:W3CDTF">2019-04-09T01:55:46Z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