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抗酸染色液(改良 Kinyoun 冷染法)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337"/>
            <w:col w:w="693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1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分枝杆菌的细胞壁内含有大量脂质包围在肽聚糖的外面, 所以分枝杆菌一般不易着色。传统的染色方法要经过加热和延长染色时间来促使其着色。分枝杆菌中的分枝菌酸与染料一旦结合后，就很难被酸性脱色液脱色，故名抗酸染色。其中最具代表性的是结核杆菌 Ziehl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114" w:firstLine="42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－Neelsen 染色法，该法是 WHO 推荐热染的方法。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14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抗酸染色液(改良 </w:t>
      </w:r>
      <w:r>
        <w:rPr>
          <w:rFonts w:hint="eastAsia" w:ascii="宋体" w:hAnsi="宋体" w:eastAsia="宋体" w:cs="宋体"/>
        </w:rPr>
        <w:t xml:space="preserve">Kinyoun </w:t>
      </w:r>
      <w:r>
        <w:rPr>
          <w:rFonts w:hint="eastAsia" w:ascii="宋体" w:hAnsi="宋体" w:eastAsia="宋体" w:cs="宋体"/>
        </w:rPr>
        <w:t xml:space="preserve">冷染法)属于冷染色液，无需加热，相对较抗酸热染液安全。其染色原理是在室温条件下，分枝菌酸与复红结合成复合物，经亚甲蓝复染后，分枝杆菌仍然为红色，而其他细菌及背景中的物质为蓝色。该染色液较 </w:t>
      </w:r>
      <w:r>
        <w:rPr>
          <w:rFonts w:hint="eastAsia" w:ascii="宋体" w:hAnsi="宋体" w:eastAsia="宋体" w:cs="宋体"/>
        </w:rPr>
        <w:t xml:space="preserve">Kinyoun </w:t>
      </w:r>
      <w:r>
        <w:rPr>
          <w:rFonts w:hint="eastAsia" w:ascii="宋体" w:hAnsi="宋体" w:eastAsia="宋体" w:cs="宋体"/>
        </w:rPr>
        <w:t>冷染法要浅，更适用于抗弱酸酸染色。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2"/>
        <w:spacing w:before="1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3" w:after="1"/>
        <w:rPr>
          <w:rFonts w:ascii="Malgun Gothic"/>
          <w:b/>
          <w:sz w:val="28"/>
        </w:rPr>
      </w:pPr>
    </w:p>
    <w:tbl>
      <w:tblPr>
        <w:tblStyle w:val="6"/>
        <w:tblW w:w="6746" w:type="dxa"/>
        <w:tblInd w:w="1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6"/>
        <w:gridCol w:w="1037"/>
        <w:gridCol w:w="1152"/>
        <w:gridCol w:w="468"/>
        <w:gridCol w:w="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556" w:type="dxa"/>
          </w:tcPr>
          <w:p>
            <w:pPr>
              <w:pStyle w:val="11"/>
              <w:spacing w:before="5"/>
              <w:rPr>
                <w:rFonts w:ascii="Malgun Gothic"/>
                <w:b/>
                <w:sz w:val="19"/>
              </w:rPr>
            </w:pPr>
          </w:p>
          <w:p>
            <w:pPr>
              <w:pStyle w:val="11"/>
              <w:spacing w:before="1" w:line="381" w:lineRule="exact"/>
              <w:ind w:left="50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(A)</w:t>
            </w:r>
            <w:r>
              <w:rPr>
                <w:spacing w:val="29"/>
                <w:sz w:val="21"/>
              </w:rPr>
              <w:t xml:space="preserve">: </w:t>
            </w:r>
            <w:r>
              <w:rPr>
                <w:rFonts w:hint="eastAsia" w:ascii="MS UI Gothic" w:eastAsia="MS UI Gothic"/>
                <w:spacing w:val="-1"/>
                <w:sz w:val="21"/>
              </w:rPr>
              <w:t xml:space="preserve">改良 </w:t>
            </w:r>
            <w:r>
              <w:rPr>
                <w:sz w:val="21"/>
              </w:rPr>
              <w:t>Kinyoun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>复红</w:t>
            </w:r>
            <w:r>
              <w:rPr>
                <w:rFonts w:hint="eastAsia" w:ascii="MS UI Gothic" w:eastAsia="MS UI Gothic"/>
                <w:sz w:val="21"/>
              </w:rPr>
              <w:t>染色液</w:t>
            </w:r>
          </w:p>
        </w:tc>
        <w:tc>
          <w:tcPr>
            <w:tcW w:w="1037" w:type="dxa"/>
          </w:tcPr>
          <w:p>
            <w:pPr>
              <w:pStyle w:val="11"/>
              <w:spacing w:line="300" w:lineRule="exact"/>
              <w:ind w:left="143"/>
              <w:rPr>
                <w:sz w:val="19"/>
              </w:rPr>
            </w:pPr>
            <w:r>
              <w:rPr>
                <w:sz w:val="19"/>
              </w:rPr>
              <w:t>3×50ml</w:t>
            </w:r>
          </w:p>
          <w:p>
            <w:pPr>
              <w:pStyle w:val="11"/>
              <w:spacing w:before="28"/>
              <w:ind w:left="263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1152" w:type="dxa"/>
          </w:tcPr>
          <w:p>
            <w:pPr>
              <w:pStyle w:val="11"/>
              <w:spacing w:line="345" w:lineRule="exact"/>
              <w:ind w:left="188"/>
              <w:rPr>
                <w:sz w:val="19"/>
              </w:rPr>
            </w:pPr>
            <w:r>
              <w:rPr>
                <w:sz w:val="19"/>
              </w:rPr>
              <w:t>3×100ml</w:t>
            </w:r>
          </w:p>
          <w:p>
            <w:pPr>
              <w:pStyle w:val="11"/>
              <w:spacing w:before="28" w:line="358" w:lineRule="exact"/>
              <w:ind w:left="309"/>
              <w:rPr>
                <w:sz w:val="21"/>
              </w:rPr>
            </w:pPr>
            <w:r>
              <w:rPr>
                <w:sz w:val="21"/>
              </w:rPr>
              <w:t>100ml</w:t>
            </w:r>
          </w:p>
        </w:tc>
        <w:tc>
          <w:tcPr>
            <w:tcW w:w="468" w:type="dxa"/>
          </w:tcPr>
          <w:p>
            <w:pPr>
              <w:pStyle w:val="11"/>
              <w:spacing w:before="5"/>
              <w:rPr>
                <w:rFonts w:ascii="Malgun Gothic"/>
                <w:b/>
                <w:sz w:val="19"/>
              </w:rPr>
            </w:pPr>
          </w:p>
          <w:p>
            <w:pPr>
              <w:pStyle w:val="11"/>
              <w:spacing w:before="1" w:line="381" w:lineRule="exact"/>
              <w:ind w:right="61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3" w:type="dxa"/>
          </w:tcPr>
          <w:p>
            <w:pPr>
              <w:pStyle w:val="11"/>
              <w:rPr>
                <w:rFonts w:ascii="Malgun Gothic"/>
                <w:b/>
                <w:sz w:val="23"/>
              </w:rPr>
            </w:pPr>
          </w:p>
          <w:p>
            <w:pPr>
              <w:pStyle w:val="11"/>
              <w:ind w:left="40" w:right="32"/>
              <w:jc w:val="center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56" w:type="dxa"/>
          </w:tcPr>
          <w:p>
            <w:pPr>
              <w:pStyle w:val="11"/>
              <w:spacing w:line="378" w:lineRule="exact"/>
              <w:ind w:left="50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(B)</w:t>
            </w:r>
            <w:r>
              <w:rPr>
                <w:spacing w:val="-1"/>
                <w:sz w:val="21"/>
              </w:rPr>
              <w:t xml:space="preserve">: </w:t>
            </w:r>
            <w:r>
              <w:rPr>
                <w:sz w:val="21"/>
              </w:rPr>
              <w:t>Kinyoun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rFonts w:hint="eastAsia" w:ascii="MS UI Gothic" w:eastAsia="MS UI Gothic"/>
                <w:sz w:val="21"/>
              </w:rPr>
              <w:t>脱色液</w:t>
            </w:r>
          </w:p>
        </w:tc>
        <w:tc>
          <w:tcPr>
            <w:tcW w:w="1037" w:type="dxa"/>
          </w:tcPr>
          <w:p>
            <w:pPr>
              <w:pStyle w:val="11"/>
              <w:spacing w:before="19" w:line="374" w:lineRule="exact"/>
              <w:ind w:right="272"/>
              <w:jc w:val="right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1152" w:type="dxa"/>
          </w:tcPr>
          <w:p>
            <w:pPr>
              <w:pStyle w:val="11"/>
              <w:spacing w:before="39" w:line="353" w:lineRule="exact"/>
              <w:ind w:right="219"/>
              <w:jc w:val="right"/>
              <w:rPr>
                <w:sz w:val="21"/>
              </w:rPr>
            </w:pPr>
            <w:r>
              <w:rPr>
                <w:sz w:val="21"/>
              </w:rPr>
              <w:t>100ml</w:t>
            </w:r>
          </w:p>
        </w:tc>
        <w:tc>
          <w:tcPr>
            <w:tcW w:w="468" w:type="dxa"/>
          </w:tcPr>
          <w:p>
            <w:pPr>
              <w:pStyle w:val="11"/>
              <w:spacing w:line="378" w:lineRule="exact"/>
              <w:ind w:right="61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3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556" w:type="dxa"/>
          </w:tcPr>
          <w:p>
            <w:pPr>
              <w:pStyle w:val="11"/>
              <w:spacing w:line="347" w:lineRule="exact"/>
              <w:ind w:left="50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(C): </w:t>
            </w:r>
            <w:r>
              <w:rPr>
                <w:rFonts w:hint="eastAsia" w:ascii="宋体" w:eastAsia="宋体"/>
                <w:sz w:val="21"/>
              </w:rPr>
              <w:t>亚</w:t>
            </w:r>
            <w:r>
              <w:rPr>
                <w:rFonts w:hint="eastAsia" w:ascii="MS UI Gothic" w:eastAsia="MS UI Gothic"/>
                <w:sz w:val="21"/>
              </w:rPr>
              <w:t>甲</w:t>
            </w:r>
            <w:r>
              <w:rPr>
                <w:rFonts w:hint="eastAsia" w:ascii="宋体" w:eastAsia="宋体"/>
                <w:sz w:val="21"/>
              </w:rPr>
              <w:t>蓝</w:t>
            </w:r>
            <w:r>
              <w:rPr>
                <w:rFonts w:hint="eastAsia" w:ascii="MS UI Gothic" w:eastAsia="MS UI Gothic"/>
                <w:sz w:val="21"/>
              </w:rPr>
              <w:t>染色液</w:t>
            </w:r>
          </w:p>
        </w:tc>
        <w:tc>
          <w:tcPr>
            <w:tcW w:w="1037" w:type="dxa"/>
          </w:tcPr>
          <w:p>
            <w:pPr>
              <w:pStyle w:val="11"/>
              <w:spacing w:before="12" w:line="335" w:lineRule="exact"/>
              <w:ind w:right="272"/>
              <w:jc w:val="right"/>
              <w:rPr>
                <w:sz w:val="21"/>
              </w:rPr>
            </w:pPr>
            <w:r>
              <w:rPr>
                <w:sz w:val="21"/>
              </w:rPr>
              <w:t>50ml</w:t>
            </w:r>
          </w:p>
        </w:tc>
        <w:tc>
          <w:tcPr>
            <w:tcW w:w="1152" w:type="dxa"/>
          </w:tcPr>
          <w:p>
            <w:pPr>
              <w:pStyle w:val="11"/>
              <w:spacing w:before="35" w:line="312" w:lineRule="exact"/>
              <w:ind w:right="219"/>
              <w:jc w:val="right"/>
              <w:rPr>
                <w:sz w:val="21"/>
              </w:rPr>
            </w:pPr>
            <w:r>
              <w:rPr>
                <w:sz w:val="21"/>
              </w:rPr>
              <w:t>100ml</w:t>
            </w:r>
          </w:p>
        </w:tc>
        <w:tc>
          <w:tcPr>
            <w:tcW w:w="468" w:type="dxa"/>
          </w:tcPr>
          <w:p>
            <w:pPr>
              <w:pStyle w:val="11"/>
              <w:spacing w:before="12" w:line="335" w:lineRule="exact"/>
              <w:ind w:right="61"/>
              <w:jc w:val="righ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  <w:tc>
          <w:tcPr>
            <w:tcW w:w="533" w:type="dxa"/>
          </w:tcPr>
          <w:p>
            <w:pPr>
              <w:pStyle w:val="11"/>
              <w:spacing w:before="79" w:line="268" w:lineRule="exact"/>
              <w:ind w:left="39" w:right="32"/>
              <w:jc w:val="center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避光</w:t>
            </w:r>
          </w:p>
        </w:tc>
      </w:tr>
    </w:tbl>
    <w:p>
      <w:pPr>
        <w:pStyle w:val="3"/>
        <w:rPr>
          <w:rFonts w:ascii="Malgun Gothic"/>
          <w:b/>
          <w:sz w:val="20"/>
        </w:rPr>
      </w:pPr>
    </w:p>
    <w:p>
      <w:pPr>
        <w:pStyle w:val="3"/>
        <w:spacing w:before="16"/>
        <w:rPr>
          <w:rFonts w:ascii="Malgun Gothic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、接种环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、载玻片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298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1、接种环挑取待检样本，涂布于载玻片上，自然干燥。2、滴加改良 Kinyoun 复红染色液，染色 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不必加热，蒸馏水冲洗。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left="405" w:right="4740" w:rightChars="0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4、用 Kinyoun 脱色液脱色 3min。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ind w:left="405" w:right="4740" w:righ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5、蒸馏水冲洗。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6、用亚甲蓝染色液染色 3～5min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7、蒸馏水冲洗。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sz w:val="16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1" w:line="350" w:lineRule="exact"/>
        <w:ind w:left="0" w:right="38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轻轻吸干水分，自然干燥。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9、</w:t>
      </w:r>
      <w:r>
        <w:rPr>
          <w:rFonts w:hint="eastAsia" w:ascii="宋体" w:hAnsi="宋体" w:eastAsia="宋体" w:cs="宋体"/>
          <w:w w:val="105"/>
        </w:rPr>
        <w:t>油镜镜检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8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top="1600" w:right="1300" w:bottom="280" w:left="1680" w:header="720" w:footer="720" w:gutter="0"/>
        </w:sectPr>
      </w:pPr>
    </w:p>
    <w:p>
      <w:pPr>
        <w:pStyle w:val="2"/>
        <w:spacing w:line="428" w:lineRule="exact"/>
      </w:pPr>
      <w:r>
        <w:t>染色</w:t>
      </w:r>
      <w:r>
        <w:rPr>
          <w:rFonts w:hint="eastAsia" w:ascii="Microsoft JhengHei" w:eastAsia="Microsoft JhengHei"/>
        </w:rPr>
        <w:t>结</w:t>
      </w:r>
      <w:r>
        <w:t>果：</w:t>
      </w:r>
    </w:p>
    <w:p>
      <w:pPr>
        <w:pStyle w:val="3"/>
        <w:spacing w:before="8"/>
        <w:rPr>
          <w:rFonts w:ascii="Malgun Gothic"/>
          <w:b/>
          <w:sz w:val="28"/>
        </w:rPr>
      </w:pPr>
      <w:r>
        <w:br w:type="column"/>
      </w:r>
    </w:p>
    <w:p>
      <w:pPr>
        <w:pStyle w:val="3"/>
        <w:tabs>
          <w:tab w:val="left" w:pos="2920"/>
        </w:tabs>
        <w:ind w:left="-38"/>
      </w:pPr>
      <w:r>
        <w:t>抗酸或弱抗酸菌</w:t>
      </w:r>
      <w:r>
        <w:tab/>
      </w:r>
      <w:r>
        <w:rPr>
          <w:rFonts w:hint="eastAsia" w:ascii="宋体" w:eastAsia="宋体"/>
        </w:rPr>
        <w:t>红</w:t>
      </w:r>
      <w:r>
        <w:t>色</w:t>
      </w:r>
    </w:p>
    <w:p>
      <w:pPr>
        <w:pStyle w:val="3"/>
        <w:tabs>
          <w:tab w:val="left" w:pos="2920"/>
        </w:tabs>
        <w:spacing w:before="136"/>
        <w:ind w:left="-38"/>
      </w:pPr>
      <w:r>
        <w:t>非抗酸菌、</w:t>
      </w:r>
      <w:r>
        <w:rPr>
          <w:rFonts w:hint="eastAsia"/>
        </w:rPr>
        <w:t>细</w:t>
      </w:r>
      <w:r>
        <w:t>胞、背景</w:t>
      </w:r>
      <w:r>
        <w:rPr>
          <w:w w:val="105"/>
        </w:rPr>
        <w:tab/>
      </w:r>
      <w:r>
        <w:rPr>
          <w:w w:val="105"/>
        </w:rPr>
        <w:t>浅</w:t>
      </w:r>
      <w:r>
        <w:rPr>
          <w:rFonts w:hint="eastAsia" w:ascii="宋体" w:eastAsia="宋体"/>
          <w:w w:val="105"/>
        </w:rPr>
        <w:t>蓝</w:t>
      </w:r>
      <w:r>
        <w:rPr>
          <w:w w:val="105"/>
        </w:rPr>
        <w:t>色</w:t>
      </w:r>
    </w:p>
    <w:p>
      <w:pPr>
        <w:spacing w:after="0"/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06" w:space="40"/>
            <w:col w:w="7274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1</w:t>
      </w:r>
      <w:r>
        <w:rPr>
          <w:rFonts w:hint="eastAsia" w:ascii="宋体" w:hAnsi="宋体" w:eastAsia="宋体" w:cs="宋体"/>
        </w:rPr>
        <w:t>、每次使用后盖紧试剂瓶，以防试剂挥发和污染。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2</w:t>
      </w:r>
      <w:r>
        <w:rPr>
          <w:rFonts w:hint="eastAsia" w:ascii="宋体" w:hAnsi="宋体" w:eastAsia="宋体" w:cs="宋体"/>
        </w:rPr>
        <w:t>、上述试剂均对人体有刺激性，请注意适当防护。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8976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3850005</wp:posOffset>
              </wp:positionH>
              <wp:positionV relativeFrom="paragraph">
                <wp:posOffset>-34925</wp:posOffset>
              </wp:positionV>
              <wp:extent cx="1827530" cy="909320"/>
              <wp:effectExtent l="0" t="0" r="127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16805" y="434975"/>
                        <a:ext cx="1827530" cy="909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3.15pt;margin-top:-2.75pt;height:71.6pt;width:143.9pt;z-index:251658240;mso-width-relative:page;mso-height-relative:page;" fillcolor="#FFFFFF" filled="t" stroked="f" coordsize="21600,21600" o:gfxdata="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1Ld59gAAAAKAQAADwAAAAAAAAABACAAAAAiAAAAZHJzL2Rv&#10;d25yZXYueG1sUEsBAhQAFAAAAAgAh07iQMi5IyPIAQAAVAMAAA4AAAAAAAAAAQAgAAAAJw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A0A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2019-06-10T07:02:00Z</dcterms:created>
  <dc:creator>94099</dc:creator>
  <cp:lastModifiedBy>Cute  princess</cp:lastModifiedBy>
  <dcterms:modified xsi:type="dcterms:W3CDTF">2019-06-10T07:13:38Z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2019-06-10T00:00:00Z</vt:filetime>
  </property>
  <property fmtid="{D5CDD505-2E9C-101B-9397-08002B2CF9AE}" pid="5" name="KSOProductBuildVer">
    <vt:lpwstr>2052-11.1.0.8696</vt:lpwstr>
  </property>
</Properties>
</file>