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583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9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0zN4eNkAAAAM&#10;AQAADwAAAGRycy9kb3ducmV2LnhtbE2PvU7DQBCEeyTe4bRINBG5s8EhGJ9TAO5oCCDajb3YFr49&#10;x3f5gadnU0E5O6OZb4vV0Q1qT1PoPVtI5gYUce2bnlsLb6/V1RJUiMgNDp7JwjcFWJXnZwXmjT/w&#10;C+3XsVVSwiFHC12MY651qDtyGOZ+JBbv008Oo8ip1c2EByl3g06NWWiHPctChyM9dFR/rXfOQqje&#10;aVv9zOqZ+bhuPaXbx+cntPbyIjH3oCId418YTviCDqUwbfyOm6AG0TeZoEcLaXZ3C+qUMMskA7WR&#10;08IkoMtC/3+i/AVQSwMEFAAAAAgAh07iQAbJLi3iAQAAqQMAAA4AAABkcnMvZTJvRG9jLnhtbK1T&#10;S27bMBDdF+gdCO5ryYplxILlLOKmm6I10PYAY34kAvyBZCz7LL1GV930OLlGh7Sbpu0mCKoFNeQM&#10;38x7elrfHI0mBxGicran81lNibDMcWWHnn75fPfmmpKYwHLQzoqenkSkN5vXr9aT70TjRqe5CARB&#10;bOwm39MxJd9VVWSjMBBnzguLSemCgYTbMFQ8wIToRldNXS+ryQXug2MiRjzdnpN0U/ClFCx9lDKK&#10;RHRPcbZU1lDWfV6rzRq6IYAfFbuMAS+YwoCy2PQRagsJyH1Q/0AZxYKLTqYZc6ZyUiomCgdkM6//&#10;YvNpBC8KFxQn+keZ4v+DZR8Ou0AU7+kVJRYMfqKHr98evv8gTdZm8rHDklu7C5dd9LuQiR5lMPmN&#10;FMixp6umvb5CgU9oguViVa/as7TimAjDfLtazJd4SBhWNO2iKF/9hvEhpnfCGZKDnmplM3Ho4PA+&#10;JmyNpb9K8rG2ZMKmbZMRAX0jNSQMjUcm0Q7lbnRa8Tuldb4Rw7C/1YEcIDuhPHlCxP2jLDfZQhzP&#10;dSV1JjIK4G8tJ+nkUSOLZqZ5BCM4JVqg93OEgNAlUPo5ldha23xBFJ9eeGbFzxrnaO/4Cb/PvQ9q&#10;GFGXeZk5Z9APZfqLd7Phnu4xfvqH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zN4eNkAAAAM&#10;AQAADwAAAAAAAAABACAAAAAiAAAAZHJzL2Rvd25yZXYueG1sUEsBAhQAFAAAAAgAh07iQAbJLi3i&#10;AQAAqQMAAA4AAAAAAAAAAQAgAAAAK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00" w:lineRule="exact"/>
        <w:textAlignment w:val="auto"/>
        <w:rPr>
          <w:rFonts w:hint="eastAsia" w:asciiTheme="majorEastAsia" w:hAnsiTheme="majorEastAsia" w:eastAsiaTheme="majorEastAsia" w:cstheme="majorEastAsia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textAlignment w:val="auto"/>
        <w:rPr>
          <w:rFonts w:hint="eastAsia" w:asciiTheme="majorEastAsia" w:hAnsiTheme="majorEastAsia" w:eastAsiaTheme="majorEastAsia" w:cstheme="majorEastAsia"/>
          <w:sz w:val="23"/>
        </w:rPr>
        <w:sectPr>
          <w:headerReference r:id="rId3" w:type="default"/>
          <w:type w:val="continuous"/>
          <w:pgSz w:w="11900" w:h="16840"/>
          <w:pgMar w:top="660" w:right="13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textAlignment w:val="auto"/>
        <w:rPr>
          <w:rFonts w:hint="eastAsia" w:asciiTheme="majorEastAsia" w:hAnsiTheme="majorEastAsia" w:eastAsiaTheme="majorEastAsia" w:cstheme="majorEastAsia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40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</w:rPr>
        <w:br w:type="column"/>
      </w:r>
      <w:r>
        <w:rPr>
          <w:rFonts w:hint="eastAsia" w:asciiTheme="majorEastAsia" w:hAnsiTheme="majorEastAsia" w:eastAsiaTheme="majorEastAsia" w:cstheme="majorEastAsia"/>
          <w:b/>
          <w:sz w:val="30"/>
        </w:rPr>
        <w:t>核固红染色液(0.1%)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0"/>
        </w:rPr>
        <w:sectPr>
          <w:type w:val="continuous"/>
          <w:pgSz w:w="11900" w:h="16840"/>
          <w:pgMar w:top="660" w:right="1320" w:bottom="280" w:left="1680" w:header="720" w:footer="720" w:gutter="0"/>
          <w:cols w:equalWidth="0" w:num="2">
            <w:col w:w="1646" w:space="1057"/>
            <w:col w:w="619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 w:right="99" w:firstLine="421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核固红(Nuclear fast red)又称细胞核坚牢红，分子式为 C</w:t>
      </w:r>
      <w:r>
        <w:rPr>
          <w:rFonts w:hint="eastAsia" w:asciiTheme="majorEastAsia" w:hAnsiTheme="majorEastAsia" w:eastAsiaTheme="majorEastAsia" w:cstheme="majorEastAsia"/>
          <w:sz w:val="13"/>
        </w:rPr>
        <w:t>14</w:t>
      </w:r>
      <w:r>
        <w:rPr>
          <w:rFonts w:hint="eastAsia" w:asciiTheme="majorEastAsia" w:hAnsiTheme="majorEastAsia" w:eastAsiaTheme="majorEastAsia" w:cstheme="majorEastAsia"/>
        </w:rPr>
        <w:t>H</w:t>
      </w:r>
      <w:r>
        <w:rPr>
          <w:rFonts w:hint="eastAsia" w:asciiTheme="majorEastAsia" w:hAnsiTheme="majorEastAsia" w:eastAsiaTheme="majorEastAsia" w:cstheme="majorEastAsia"/>
          <w:sz w:val="13"/>
        </w:rPr>
        <w:t>8</w:t>
      </w:r>
      <w:r>
        <w:rPr>
          <w:rFonts w:hint="eastAsia" w:asciiTheme="majorEastAsia" w:hAnsiTheme="majorEastAsia" w:eastAsiaTheme="majorEastAsia" w:cstheme="majorEastAsia"/>
        </w:rPr>
        <w:t>NNaO</w:t>
      </w:r>
      <w:r>
        <w:rPr>
          <w:rFonts w:hint="eastAsia" w:asciiTheme="majorEastAsia" w:hAnsiTheme="majorEastAsia" w:eastAsiaTheme="majorEastAsia" w:cstheme="majorEastAsia"/>
          <w:sz w:val="13"/>
        </w:rPr>
        <w:t>7</w:t>
      </w:r>
      <w:r>
        <w:rPr>
          <w:rFonts w:hint="eastAsia" w:asciiTheme="majorEastAsia" w:hAnsiTheme="majorEastAsia" w:eastAsiaTheme="majorEastAsia" w:cstheme="majorEastAsia"/>
        </w:rPr>
        <w:t>S，分子量为357.27， CAS 号为 6409-77-42，微红至深棕色粉末，溶于乙醇和水。核固红染色液(0.1%)是由核固红、氧化剂组成，常用于细胞核染色。经常与亚铁氰化钾合用，复染细胞核。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textAlignment w:val="auto"/>
        <w:rPr>
          <w:rFonts w:hint="eastAsia" w:asciiTheme="majorEastAsia" w:hAnsiTheme="majorEastAsia" w:eastAsiaTheme="majorEastAsia" w:cstheme="majorEastAsia"/>
          <w:b/>
          <w:sz w:val="4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584"/>
          <w:tab w:val="left" w:pos="4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161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Nuclear fast</w:t>
      </w:r>
      <w:r>
        <w:rPr>
          <w:rFonts w:hint="eastAsia" w:asciiTheme="majorEastAsia" w:hAnsiTheme="majorEastAsia" w:eastAsiaTheme="majorEastAsia" w:cstheme="majorEastAsia"/>
          <w:spacing w:val="-6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red</w:t>
      </w:r>
      <w:r>
        <w:rPr>
          <w:rFonts w:hint="eastAsia" w:asciiTheme="majorEastAsia" w:hAnsiTheme="majorEastAsia" w:eastAsiaTheme="majorEastAsia" w:cstheme="majorEastAsia"/>
          <w:spacing w:val="-4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stain(0.1%)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100ml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</w:rPr>
        <w:t>RT</w:t>
      </w:r>
      <w:r>
        <w:rPr>
          <w:rFonts w:hint="eastAsia" w:asciiTheme="majorEastAsia" w:hAnsiTheme="majorEastAsia" w:eastAsiaTheme="majorEastAsia" w:cstheme="majorEastAsia"/>
          <w:spacing w:val="-1"/>
        </w:rPr>
        <w:t xml:space="preserve"> 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400" w:lineRule="exact"/>
        <w:textAlignment w:val="auto"/>
        <w:rPr>
          <w:rFonts w:hint="eastAsia" w:asciiTheme="majorEastAsia" w:hAnsiTheme="majorEastAsia" w:eastAsiaTheme="majorEastAsia" w:cstheme="majorEastAsia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操作步骤</w:t>
      </w:r>
      <w:r>
        <w:rPr>
          <w:rFonts w:hint="eastAsia" w:asciiTheme="majorEastAsia" w:hAnsiTheme="majorEastAsia" w:eastAsiaTheme="majorEastAsia" w:cstheme="majorEastAsia"/>
          <w:sz w:val="21"/>
        </w:rPr>
        <w:t>(仅供参考)</w:t>
      </w:r>
      <w:r>
        <w:rPr>
          <w:rFonts w:hint="eastAsia" w:asciiTheme="majorEastAsia" w:hAnsiTheme="majorEastAsia" w:eastAsiaTheme="majorEastAsia" w:cstheme="majorEastAsia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1、根据实验具体要求操作。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2、一般复染细胞核时间控制在 5～10min。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4500" w:rightChars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染色结果</w:t>
      </w:r>
      <w:r>
        <w:rPr>
          <w:rFonts w:hint="eastAsia" w:asciiTheme="majorEastAsia" w:hAnsiTheme="majorEastAsia" w:eastAsiaTheme="majorEastAsia" w:cstheme="majorEastAsia"/>
          <w:sz w:val="21"/>
        </w:rPr>
        <w:t>：细胞核呈不同程度的红色。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4804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ind w:left="405" w:right="4804" w:firstLine="0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 该试剂有一定的刺激性。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 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Theme="majorEastAsia" w:hAnsiTheme="majorEastAsia" w:eastAsiaTheme="majorEastAsia" w:cstheme="majorEastAsia"/>
          <w:sz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 xml:space="preserve">有效期： </w:t>
      </w:r>
      <w:r>
        <w:rPr>
          <w:rFonts w:hint="eastAsia" w:asciiTheme="majorEastAsia" w:hAnsiTheme="majorEastAsia" w:eastAsiaTheme="majorEastAsia" w:cstheme="majorEastAsia"/>
          <w:sz w:val="21"/>
        </w:rPr>
        <w:t>12 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400" w:lineRule="exact"/>
        <w:ind w:left="0" w:right="362" w:firstLine="0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3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63561" o:spid="_x0000_s2050" o:spt="136" type="#_x0000_t136" style="position:absolute;left:0pt;height:70.25pt;width:55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3821430</wp:posOffset>
              </wp:positionH>
              <wp:positionV relativeFrom="paragraph">
                <wp:posOffset>-1905</wp:posOffset>
              </wp:positionV>
              <wp:extent cx="1866900" cy="876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88230" y="467995"/>
                        <a:ext cx="18669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9pt;margin-top:-0.15pt;height:69pt;width:147pt;z-index:251658240;mso-width-relative:page;mso-height-relative:page;" fillcolor="#FFFFFF" filled="t" stroked="f" coordsize="21600,21600" o:gfxdata="UEsDBAoAAAAAAIdO4kAAAAAAAAAAAAAAAAAEAAAAZHJzL1BLAwQUAAAACACHTuJACTEl5tcAAAAJ&#10;AQAADwAAAGRycy9kb3ducmV2LnhtbE2PzU7DMBCE70i8g7VIXFBrh9KkDXEqgVTEtT8P4MTbJCJe&#10;R7HbtG/f5QTH0Yxmvik2V9eLC46h86QhmSsQSLW3HTUajoftbAUiREPW9J5Qww0DbMrHh8Lk1k+0&#10;w8s+NoJLKORGQxvjkEsZ6hadCXM/ILF38qMzkeXYSDuaictdL1+VSqUzHfFCawb8bLH+2Z+dhtP3&#10;9LJcT9VXPGa7t/TDdFnlb1o/PyXqHUTEa/wLwy8+o0PJTJU/kw2i15CqhNGjhtkCBPur9ZJ1xcFF&#10;loEsC/n/QXkHUEsDBBQAAAAIAIdO4kBgXMddxQEAAFQDAAAOAAAAZHJzL2Uyb0RvYy54bWytU0tu&#10;2zAQ3RfIHQjua8lOrciC5QBN4G6KtkCaA9AUJRHgD0PGknuA9gZdddN9z+VzdEgpST+7olpQQ87j&#10;47w35PZ61IocBXhpTU2Xi5wSYbhtpOlqev9x/7KkxAdmGqasETU9CU+vdxcvtoOrxMr2VjUCCJIY&#10;Xw2upn0Irsoyz3uhmV9YJwwmWwuaBZxClzXABmTXKlvleZENFhoHlgvvcfV2StJd4m9bwcP7tvUi&#10;EFVTrC2kEdJ4iGO227KqA+Z6yecy2D9UoZk0eOgT1S0LjDyA/ItKSw7W2zYsuNWZbVvJRdKAapb5&#10;H2rueuZE0oLmePdkk/9/tPzd8QMQ2WDvKDFMY4vOX7+cv/04f/9MltGewfkKUXcOcWF8bccIndc9&#10;LkbVYws6/lEPwfyrsixXl2j3CePiarNZTz6LMRAe95dFsckxzxFQXhWXGCNj9kzkwIc3wmoSg5oC&#10;9jHZy45vfZigj5B4rrdKNnupVJpAd7hRQI4Me75P38z+G0wZMtR0s16tE7Oxcf9ErQwWE3VP+mIU&#10;xsM4iz7Y5oRe4KXHynoLnyhhhmNQ00DJgwPZ9ZhJJiUWbF0SN1+zeDd+naeznh/D7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MSXm1wAAAAkBAAAPAAAAAAAAAAEAIAAAACIAAABkcnMvZG93bnJl&#10;di54bWxQSwECFAAUAAAACACHTuJAYFzHXc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90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2019-08-08T08:55:00Z</dcterms:created>
  <dc:creator>Administrator</dc:creator>
  <cp:lastModifiedBy>Cute  princess</cp:lastModifiedBy>
  <dcterms:modified xsi:type="dcterms:W3CDTF">2019-08-08T09:06:25Z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2019-08-08T00:00:00Z</vt:filetime>
  </property>
  <property fmtid="{D5CDD505-2E9C-101B-9397-08002B2CF9AE}" pid="5" name="KSOProductBuildVer">
    <vt:lpwstr>2052-11.1.0.8894</vt:lpwstr>
  </property>
</Properties>
</file>