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铜盐染色液(红氨酸法)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17"/>
            <w:col w:w="61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铜在人体内含量极少，采用一般的组织学方法检测不到。肝脏中的铜较</w:t>
      </w:r>
      <w:r>
        <w:rPr>
          <w:rFonts w:hint="eastAsia" w:ascii="宋体" w:hAnsi="宋体" w:eastAsia="宋体" w:cs="宋体"/>
          <w:spacing w:val="-3"/>
        </w:rPr>
        <w:t xml:space="preserve">多，当肝豆状核 </w:t>
      </w:r>
      <w:r>
        <w:rPr>
          <w:rFonts w:hint="eastAsia" w:ascii="宋体" w:hAnsi="宋体" w:eastAsia="宋体" w:cs="宋体"/>
        </w:rPr>
        <w:t xml:space="preserve">变性或肝硬化时，铜含量明显增加。红氨酸法原理在于红氨酸不铜盐反应生成红氨酸-二亚 </w:t>
      </w:r>
      <w:r>
        <w:rPr>
          <w:rFonts w:hint="eastAsia" w:ascii="宋体" w:hAnsi="宋体" w:eastAsia="宋体" w:cs="宋体"/>
          <w:w w:val="110"/>
        </w:rPr>
        <w:t>胺(二硫乙二胺红氨酸)型铜盐沉淀，呈黑绿色。</w:t>
      </w:r>
    </w:p>
    <w:p>
      <w:pPr>
        <w:pStyle w:val="3"/>
        <w:spacing w:before="4"/>
        <w:rPr>
          <w:rFonts w:hint="eastAsia" w:ascii="宋体" w:hAnsi="宋体" w:eastAsia="宋体" w:cs="宋体"/>
          <w:sz w:val="2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6"/>
        <w:rPr>
          <w:rFonts w:ascii="Microsoft JhengHei"/>
          <w:b/>
        </w:rPr>
      </w:pPr>
    </w:p>
    <w:p>
      <w:pPr>
        <w:spacing w:after="0"/>
        <w:rPr>
          <w:rFonts w:ascii="Microsoft JhengHei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3"/>
        <w:rPr>
          <w:rFonts w:ascii="Microsoft JhengHei"/>
          <w:b/>
          <w:sz w:val="24"/>
        </w:rPr>
      </w:pPr>
    </w:p>
    <w:p>
      <w:pPr>
        <w:pStyle w:val="3"/>
        <w:jc w:val="right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</w:p>
    <w:p>
      <w:pPr>
        <w:pStyle w:val="3"/>
        <w:spacing w:before="2"/>
        <w:rPr>
          <w:rFonts w:ascii="微软雅黑"/>
          <w:sz w:val="24"/>
        </w:rPr>
      </w:pPr>
      <w:r>
        <w:br w:type="column"/>
      </w:r>
    </w:p>
    <w:p>
      <w:pPr>
        <w:pStyle w:val="3"/>
        <w:ind w:left="914"/>
      </w:pPr>
      <w:r>
        <w:rPr>
          <w:rFonts w:hint="eastAsia" w:ascii="微软雅黑" w:eastAsia="微软雅黑"/>
        </w:rPr>
        <w:t xml:space="preserve">A1: </w:t>
      </w:r>
      <w:r>
        <w:rPr>
          <w:rFonts w:hint="eastAsia" w:ascii="宋体" w:eastAsia="宋体"/>
        </w:rPr>
        <w:t>红</w:t>
      </w:r>
      <w:r>
        <w:t>氨酸溶液</w:t>
      </w:r>
    </w:p>
    <w:p>
      <w:pPr>
        <w:spacing w:before="51"/>
        <w:ind w:left="731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tabs>
          <w:tab w:val="left" w:pos="1798"/>
        </w:tabs>
        <w:spacing w:before="43"/>
        <w:ind w:left="912" w:right="0" w:firstLine="0"/>
        <w:jc w:val="left"/>
        <w:rPr>
          <w:sz w:val="21"/>
        </w:rPr>
      </w:pPr>
      <w:r>
        <w:rPr>
          <w:rFonts w:hint="eastAsia" w:ascii="微软雅黑" w:eastAsia="微软雅黑"/>
          <w:sz w:val="19"/>
        </w:rPr>
        <w:t>2ml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21"/>
        </w:rPr>
        <w:t>RT</w:t>
      </w:r>
      <w:r>
        <w:rPr>
          <w:rFonts w:hint="eastAsia" w:ascii="微软雅黑" w:eastAsia="微软雅黑"/>
          <w:spacing w:val="-3"/>
          <w:sz w:val="21"/>
        </w:rPr>
        <w:t xml:space="preserve"> </w:t>
      </w:r>
      <w:r>
        <w:rPr>
          <w:sz w:val="21"/>
        </w:rPr>
        <w:t>避 光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2335" w:space="40"/>
            <w:col w:w="2410" w:space="39"/>
            <w:col w:w="4096"/>
          </w:cols>
        </w:sectPr>
      </w:pPr>
    </w:p>
    <w:p>
      <w:pPr>
        <w:pStyle w:val="3"/>
        <w:spacing w:before="47"/>
        <w:ind w:left="1577"/>
      </w:pPr>
      <w:r>
        <w:rPr>
          <w:rFonts w:hint="eastAsia" w:ascii="宋体" w:eastAsia="宋体"/>
        </w:rPr>
        <w:t>红</w:t>
      </w:r>
      <w:r>
        <w:t>氨酸染色液</w:t>
      </w:r>
    </w:p>
    <w:p>
      <w:pPr>
        <w:pStyle w:val="3"/>
        <w:spacing w:line="380" w:lineRule="exact"/>
        <w:ind w:left="411"/>
        <w:rPr>
          <w:rFonts w:hint="eastAsia" w:ascii="宋体" w:eastAsia="宋体"/>
        </w:rPr>
      </w:pPr>
      <w:r>
        <w:br w:type="column"/>
      </w:r>
      <w:r>
        <w:rPr>
          <w:rFonts w:hint="eastAsia" w:ascii="微软雅黑" w:eastAsia="微软雅黑"/>
        </w:rPr>
        <w:t>A2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Dith</w:t>
      </w:r>
      <w:r>
        <w:rPr>
          <w:rFonts w:hint="eastAsia" w:ascii="微软雅黑" w:eastAsia="微软雅黑"/>
          <w:spacing w:val="59"/>
        </w:rPr>
        <w:t xml:space="preserve"> </w:t>
      </w:r>
      <w:r>
        <w:t>氧化</w:t>
      </w:r>
      <w:r>
        <w:rPr>
          <w:rFonts w:hint="eastAsia" w:ascii="宋体" w:eastAsia="宋体"/>
          <w:spacing w:val="-14"/>
        </w:rPr>
        <w:t>剂</w:t>
      </w:r>
    </w:p>
    <w:p>
      <w:pPr>
        <w:spacing w:before="45"/>
        <w:ind w:left="786" w:right="0" w:firstLine="0"/>
        <w:jc w:val="lef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48ml</w:t>
      </w:r>
    </w:p>
    <w:p>
      <w:pPr>
        <w:pStyle w:val="3"/>
        <w:spacing w:line="380" w:lineRule="exact"/>
        <w:ind w:left="454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 w:line="380" w:lineRule="exact"/>
        <w:sectPr>
          <w:type w:val="continuous"/>
          <w:pgSz w:w="11900" w:h="16840"/>
          <w:pgMar w:top="660" w:right="1300" w:bottom="280" w:left="1680" w:header="720" w:footer="720" w:gutter="0"/>
          <w:cols w:equalWidth="0" w:num="4">
            <w:col w:w="2838" w:space="40"/>
            <w:col w:w="1974" w:space="39"/>
            <w:col w:w="1238" w:space="39"/>
            <w:col w:w="2752"/>
          </w:cols>
        </w:sectPr>
      </w:pPr>
    </w:p>
    <w:p>
      <w:pPr>
        <w:pStyle w:val="3"/>
        <w:spacing w:before="29"/>
        <w:ind w:left="1577"/>
      </w:pPr>
      <w:r>
        <w:rPr>
          <w:rFonts w:hint="eastAsia" w:ascii="宋体" w:eastAsia="宋体"/>
          <w:w w:val="105"/>
        </w:rPr>
        <w:t>临</w:t>
      </w:r>
      <w:r>
        <w:rPr>
          <w:spacing w:val="-2"/>
          <w:w w:val="105"/>
        </w:rPr>
        <w:t xml:space="preserve">用前，按 </w:t>
      </w:r>
      <w:r>
        <w:rPr>
          <w:rFonts w:hint="eastAsia" w:ascii="微软雅黑" w:eastAsia="微软雅黑"/>
          <w:w w:val="105"/>
        </w:rPr>
        <w:t>A1:A2=1:24</w:t>
      </w:r>
      <w:r>
        <w:rPr>
          <w:rFonts w:hint="eastAsia" w:ascii="微软雅黑" w:eastAsia="微软雅黑"/>
          <w:spacing w:val="60"/>
          <w:w w:val="105"/>
        </w:rPr>
        <w:t xml:space="preserve"> </w:t>
      </w:r>
      <w:r>
        <w:rPr>
          <w:w w:val="105"/>
        </w:rPr>
        <w:t>混合，即</w:t>
      </w:r>
      <w:r>
        <w:rPr>
          <w:rFonts w:hint="eastAsia" w:ascii="宋体" w:eastAsia="宋体"/>
          <w:w w:val="105"/>
        </w:rPr>
        <w:t>为红</w:t>
      </w:r>
      <w:r>
        <w:rPr>
          <w:w w:val="105"/>
        </w:rPr>
        <w:t>氨酸染色液，即配即用。</w:t>
      </w:r>
    </w:p>
    <w:p>
      <w:pPr>
        <w:pStyle w:val="3"/>
        <w:tabs>
          <w:tab w:val="left" w:pos="5676"/>
          <w:tab w:val="left" w:pos="6622"/>
        </w:tabs>
        <w:spacing w:before="32"/>
        <w:ind w:left="15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</w:t>
      </w:r>
      <w:r>
        <w:rPr>
          <w:rFonts w:hint="eastAsia" w:ascii="微软雅黑" w:eastAsia="微软雅黑"/>
          <w:spacing w:val="60"/>
        </w:rPr>
        <w:t xml:space="preserve"> </w:t>
      </w:r>
      <w:r>
        <w:t>核固</w:t>
      </w:r>
      <w:r>
        <w:rPr>
          <w:rFonts w:hint="eastAsia" w:ascii="宋体" w:eastAsia="宋体"/>
        </w:rPr>
        <w:t>红</w:t>
      </w:r>
      <w:r>
        <w:t>染色液</w:t>
      </w:r>
      <w: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2"/>
        </w:rPr>
        <w:t xml:space="preserve"> </w:t>
      </w:r>
      <w:r>
        <w:t>避 光</w:t>
      </w:r>
    </w:p>
    <w:p>
      <w:pPr>
        <w:pStyle w:val="3"/>
        <w:rPr>
          <w:sz w:val="28"/>
        </w:rPr>
      </w:pPr>
    </w:p>
    <w:p>
      <w:pPr>
        <w:pStyle w:val="3"/>
        <w:spacing w:before="5"/>
        <w:rPr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10%中性福尔马林固定液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2、系列乙醇、蒸馏水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3、恒温箱或水浴锅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10%中性福尔马林，常规脱水包埋，切片厚度 5μm，常规脱蜡至水。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2、受检切片和阳性对照片入蒸馏水。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3、切片入红氨酸染色液，37℃水浴染色 16h～48h(见注意事项 2)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70%乙醇冲洗，蒸馏水稍洗。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5、晾干并吸干切片上的水分。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6、核固红</w:t>
      </w:r>
      <w:r>
        <w:rPr>
          <w:rFonts w:hint="eastAsia" w:ascii="宋体" w:hAnsi="宋体" w:eastAsia="宋体" w:cs="宋体"/>
          <w:spacing w:val="-1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或更短时间，蒸馏水冲洗。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textAlignment w:val="auto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rPr>
          <w:rFonts w:ascii="Microsoft JhengHei"/>
          <w:b/>
          <w:sz w:val="22"/>
        </w:rPr>
      </w:pPr>
      <w:r>
        <w:br w:type="column"/>
      </w:r>
    </w:p>
    <w:p>
      <w:pPr>
        <w:pStyle w:val="3"/>
        <w:spacing w:before="4"/>
        <w:rPr>
          <w:rFonts w:ascii="Microsoft JhengHei"/>
          <w:b/>
          <w:sz w:val="14"/>
        </w:rPr>
      </w:pPr>
    </w:p>
    <w:p>
      <w:pPr>
        <w:pStyle w:val="3"/>
        <w:tabs>
          <w:tab w:val="left" w:pos="2920"/>
        </w:tabs>
        <w:spacing w:before="1"/>
        <w:ind w:left="232"/>
      </w:pPr>
      <w:r>
        <w:rPr>
          <w:rFonts w:hint="eastAsia" w:ascii="宋体" w:eastAsia="宋体"/>
        </w:rPr>
        <w:t>铜</w:t>
      </w:r>
      <w:r>
        <w:rPr>
          <w:rFonts w:hint="eastAsia" w:ascii="宋体" w:eastAsia="宋体"/>
        </w:rPr>
        <w:tab/>
      </w:r>
      <w:r>
        <w:t>墨</w:t>
      </w:r>
      <w:r>
        <w:rPr>
          <w:rFonts w:hint="eastAsia" w:ascii="宋体" w:eastAsia="宋体"/>
        </w:rPr>
        <w:t>绿</w:t>
      </w:r>
      <w:r>
        <w:t>色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spacing w:before="135"/>
        <w:ind w:right="38"/>
        <w:jc w:val="right"/>
      </w:pPr>
      <w:r>
        <w:rPr>
          <w:rFonts w:hint="eastAsia" w:ascii="宋体" w:eastAsia="宋体"/>
        </w:rPr>
        <w:t>细</w:t>
      </w:r>
      <w:r>
        <w:t>胞核</w:t>
      </w:r>
    </w:p>
    <w:p>
      <w:pPr>
        <w:spacing w:before="110"/>
        <w:ind w:left="1877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淡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色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2548" w:space="141"/>
            <w:col w:w="6231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8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ascii="Cambria"/>
          <w:b/>
          <w:sz w:val="18"/>
        </w:rPr>
      </w:pPr>
    </w:p>
    <w:p>
      <w:pPr>
        <w:spacing w:after="0"/>
        <w:jc w:val="center"/>
        <w:rPr>
          <w:rFonts w:ascii="Cambria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阴性对照：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如有必要，可做阴性对照。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 w:right="1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铜盐组织固定选择固定剂很重要，以中性福尔马林为佳，避免采用 Bouin  液等酸性固定液和含有汞或铬盐的固定剂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该染色液最好在恒温控制的水浴条件下进行。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6279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-20955</wp:posOffset>
              </wp:positionV>
              <wp:extent cx="1885950" cy="8953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48945"/>
                        <a:ext cx="18859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9pt;margin-top:-1.65pt;height:70.5pt;width:148.5pt;z-index:251658240;mso-width-relative:page;mso-height-relative:page;" fillcolor="#FFFFFF" filled="t" stroked="f" coordsize="21600,21600" o:gfxdata="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jHMStgAAAAKAQAADwAAAAAAAAABACAAAAAiAAAAZHJzL2Rvd25y&#10;ZXYueG1sUEsBAhQAFAAAAAgAh07iQNJN0vb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7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2019-06-04T07:19:00Z</dcterms:created>
  <dc:creator>94099</dc:creator>
  <cp:lastModifiedBy>Cute  princess</cp:lastModifiedBy>
  <dcterms:modified xsi:type="dcterms:W3CDTF">2019-06-04T07:22:34Z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